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C0B2" w14:textId="77777777" w:rsidR="00D577C9" w:rsidRDefault="00D577C9" w:rsidP="005670D5">
      <w:pPr>
        <w:spacing w:line="240" w:lineRule="auto"/>
        <w:ind w:firstLine="0"/>
        <w:rPr>
          <w:b/>
          <w:sz w:val="22"/>
          <w:szCs w:val="22"/>
          <w:lang w:val="pl-PL"/>
        </w:rPr>
      </w:pPr>
      <w:r>
        <w:rPr>
          <w:b/>
          <w:sz w:val="22"/>
          <w:szCs w:val="22"/>
          <w:lang w:val="pl-PL"/>
        </w:rPr>
        <w:t>Seminarium dyplomowe j. angielski z niemieckim / ALIC</w:t>
      </w:r>
    </w:p>
    <w:p w14:paraId="3E541AE5" w14:textId="77777777" w:rsidR="00D577C9" w:rsidRDefault="00D577C9" w:rsidP="005670D5">
      <w:pPr>
        <w:spacing w:line="240" w:lineRule="auto"/>
        <w:ind w:firstLine="0"/>
        <w:rPr>
          <w:b/>
          <w:sz w:val="22"/>
          <w:szCs w:val="22"/>
          <w:lang w:val="pl-PL"/>
        </w:rPr>
      </w:pPr>
    </w:p>
    <w:p w14:paraId="3B989FCE" w14:textId="77777777" w:rsidR="00723E10" w:rsidRPr="00D577C9" w:rsidRDefault="00D577C9" w:rsidP="00D577C9">
      <w:pPr>
        <w:ind w:firstLine="0"/>
        <w:rPr>
          <w:rFonts w:cs="Times New Roman"/>
          <w:lang w:val="pl-PL"/>
        </w:rPr>
      </w:pPr>
      <w:r w:rsidRPr="00D577C9">
        <w:rPr>
          <w:rFonts w:cs="Times New Roman"/>
          <w:b/>
          <w:lang w:val="pl-PL"/>
        </w:rPr>
        <w:t>Wykładowca:</w:t>
      </w:r>
      <w:r w:rsidRPr="00D577C9">
        <w:rPr>
          <w:rFonts w:cs="Times New Roman"/>
          <w:lang w:val="pl-PL"/>
        </w:rPr>
        <w:t xml:space="preserve"> </w:t>
      </w:r>
      <w:r w:rsidR="009D0FE2" w:rsidRPr="00D577C9">
        <w:rPr>
          <w:rFonts w:cs="Times New Roman"/>
          <w:lang w:val="pl-PL"/>
        </w:rPr>
        <w:t xml:space="preserve">prof. </w:t>
      </w:r>
      <w:r w:rsidR="00110631" w:rsidRPr="00D577C9">
        <w:rPr>
          <w:rFonts w:cs="Times New Roman"/>
          <w:lang w:val="pl-PL"/>
        </w:rPr>
        <w:t xml:space="preserve">UAM </w:t>
      </w:r>
      <w:r w:rsidR="009D4737" w:rsidRPr="00D577C9">
        <w:rPr>
          <w:rFonts w:cs="Times New Roman"/>
          <w:lang w:val="pl-PL"/>
        </w:rPr>
        <w:t xml:space="preserve">dr </w:t>
      </w:r>
      <w:r w:rsidR="00C04270" w:rsidRPr="00D577C9">
        <w:rPr>
          <w:rFonts w:cs="Times New Roman"/>
          <w:lang w:val="pl-PL"/>
        </w:rPr>
        <w:t xml:space="preserve">hab. </w:t>
      </w:r>
      <w:r w:rsidR="009D4737" w:rsidRPr="00D577C9">
        <w:rPr>
          <w:rFonts w:cs="Times New Roman"/>
          <w:lang w:val="pl-PL"/>
        </w:rPr>
        <w:t>Anna Szczepaniak-Kozak</w:t>
      </w:r>
    </w:p>
    <w:p w14:paraId="693768CA" w14:textId="77777777" w:rsidR="009D0FE2" w:rsidRPr="00D577C9" w:rsidRDefault="009D0FE2" w:rsidP="00D577C9">
      <w:pPr>
        <w:ind w:firstLine="0"/>
        <w:rPr>
          <w:rFonts w:cs="Times New Roman"/>
          <w:lang w:val="pl-PL"/>
        </w:rPr>
      </w:pPr>
    </w:p>
    <w:p w14:paraId="0DBC0E1D" w14:textId="77777777" w:rsidR="009D4737" w:rsidRPr="00D577C9" w:rsidRDefault="00D577C9" w:rsidP="00D577C9">
      <w:pPr>
        <w:ind w:firstLine="0"/>
        <w:jc w:val="left"/>
        <w:rPr>
          <w:rFonts w:cs="Times New Roman"/>
          <w:i/>
          <w:lang w:val="pl-PL"/>
        </w:rPr>
      </w:pPr>
      <w:r w:rsidRPr="00D577C9">
        <w:rPr>
          <w:rFonts w:cs="Times New Roman"/>
          <w:b/>
          <w:lang w:val="pl-PL"/>
        </w:rPr>
        <w:t>Seminarium licencjackie</w:t>
      </w:r>
      <w:r w:rsidRPr="00D577C9">
        <w:rPr>
          <w:rFonts w:cs="Times New Roman"/>
          <w:lang w:val="pl-PL"/>
        </w:rPr>
        <w:t xml:space="preserve">: </w:t>
      </w:r>
      <w:r w:rsidR="00110631" w:rsidRPr="00D577C9">
        <w:rPr>
          <w:rFonts w:cs="Times New Roman"/>
          <w:i/>
          <w:lang w:val="pl-PL"/>
        </w:rPr>
        <w:t>Językoznawcze badania mowy</w:t>
      </w:r>
      <w:r w:rsidR="009D4737" w:rsidRPr="00D577C9">
        <w:rPr>
          <w:rFonts w:cs="Times New Roman"/>
          <w:i/>
          <w:lang w:val="pl-PL"/>
        </w:rPr>
        <w:t xml:space="preserve"> nienawiści</w:t>
      </w:r>
      <w:r w:rsidR="00110631" w:rsidRPr="00D577C9">
        <w:rPr>
          <w:rFonts w:cs="Times New Roman"/>
          <w:i/>
          <w:lang w:val="pl-PL"/>
        </w:rPr>
        <w:t xml:space="preserve"> i radykalizmu  </w:t>
      </w:r>
    </w:p>
    <w:p w14:paraId="02762443" w14:textId="77777777" w:rsidR="001724E6" w:rsidRPr="00D577C9" w:rsidRDefault="001724E6" w:rsidP="00D577C9">
      <w:pPr>
        <w:ind w:firstLine="0"/>
        <w:jc w:val="center"/>
        <w:rPr>
          <w:rFonts w:cs="Times New Roman"/>
          <w:i/>
          <w:lang w:val="pl-PL"/>
        </w:rPr>
      </w:pPr>
    </w:p>
    <w:p w14:paraId="0959DAE3" w14:textId="77777777" w:rsidR="001724E6" w:rsidRPr="00D577C9" w:rsidRDefault="009D4737" w:rsidP="00D577C9">
      <w:pPr>
        <w:ind w:firstLine="0"/>
        <w:rPr>
          <w:rFonts w:cs="Times New Roman"/>
          <w:lang w:val="pl-PL"/>
        </w:rPr>
      </w:pPr>
      <w:r w:rsidRPr="00D577C9">
        <w:rPr>
          <w:rFonts w:cs="Times New Roman"/>
          <w:lang w:val="pl-PL"/>
        </w:rPr>
        <w:t>Ataki werbalne między przedstawicielami dwóch różnych grup, u których podłoża może leżeć nietolerancja lub dyskryminacja, określa się metaforycznym mianem „</w:t>
      </w:r>
      <w:r w:rsidR="001724E6" w:rsidRPr="00D577C9">
        <w:rPr>
          <w:rFonts w:cs="Times New Roman"/>
          <w:lang w:val="pl-PL"/>
        </w:rPr>
        <w:t>mowa</w:t>
      </w:r>
      <w:r w:rsidRPr="00D577C9">
        <w:rPr>
          <w:rFonts w:cs="Times New Roman"/>
          <w:lang w:val="pl-PL"/>
        </w:rPr>
        <w:t xml:space="preserve"> nienawiści”. Mowa nienawiści to typ agresji wyrażonej językowo rozpowszechniającej, </w:t>
      </w:r>
      <w:r w:rsidR="001724E6" w:rsidRPr="00D577C9">
        <w:rPr>
          <w:rFonts w:cs="Times New Roman"/>
          <w:iCs/>
          <w:lang w:val="pl-PL"/>
        </w:rPr>
        <w:t>podżegającej</w:t>
      </w:r>
      <w:r w:rsidRPr="00D577C9">
        <w:rPr>
          <w:rFonts w:cs="Times New Roman"/>
          <w:iCs/>
          <w:lang w:val="pl-PL"/>
        </w:rPr>
        <w:t xml:space="preserve"> lub usprawiedliwiającej nienawiść op</w:t>
      </w:r>
      <w:r w:rsidR="001724E6" w:rsidRPr="00D577C9">
        <w:rPr>
          <w:rFonts w:cs="Times New Roman"/>
          <w:iCs/>
          <w:lang w:val="pl-PL"/>
        </w:rPr>
        <w:t>ie</w:t>
      </w:r>
      <w:r w:rsidRPr="00D577C9">
        <w:rPr>
          <w:rFonts w:cs="Times New Roman"/>
          <w:iCs/>
          <w:lang w:val="pl-PL"/>
        </w:rPr>
        <w:t>r</w:t>
      </w:r>
      <w:r w:rsidR="001724E6" w:rsidRPr="00D577C9">
        <w:rPr>
          <w:rFonts w:cs="Times New Roman"/>
          <w:iCs/>
          <w:lang w:val="pl-PL"/>
        </w:rPr>
        <w:t>ającą</w:t>
      </w:r>
      <w:r w:rsidRPr="00D577C9">
        <w:rPr>
          <w:rFonts w:cs="Times New Roman"/>
          <w:iCs/>
          <w:lang w:val="pl-PL"/>
        </w:rPr>
        <w:t xml:space="preserve"> się na nietolerancji, a </w:t>
      </w:r>
      <w:r w:rsidR="001724E6" w:rsidRPr="00D577C9">
        <w:rPr>
          <w:rFonts w:cs="Times New Roman"/>
          <w:iCs/>
          <w:lang w:val="pl-PL"/>
        </w:rPr>
        <w:t>przejawiającą</w:t>
      </w:r>
      <w:r w:rsidRPr="00D577C9">
        <w:rPr>
          <w:rFonts w:cs="Times New Roman"/>
          <w:iCs/>
          <w:lang w:val="pl-PL"/>
        </w:rPr>
        <w:t xml:space="preserve"> się </w:t>
      </w:r>
      <w:r w:rsidR="001724E6" w:rsidRPr="00D577C9">
        <w:rPr>
          <w:rFonts w:cs="Times New Roman"/>
          <w:iCs/>
          <w:lang w:val="pl-PL"/>
        </w:rPr>
        <w:t>na przykła</w:t>
      </w:r>
      <w:r w:rsidR="00110631" w:rsidRPr="00D577C9">
        <w:rPr>
          <w:rFonts w:cs="Times New Roman"/>
          <w:iCs/>
          <w:lang w:val="pl-PL"/>
        </w:rPr>
        <w:t xml:space="preserve">d agresywnym nacjonalizmem, </w:t>
      </w:r>
      <w:r w:rsidRPr="00D577C9">
        <w:rPr>
          <w:rFonts w:cs="Times New Roman"/>
          <w:iCs/>
          <w:lang w:val="pl-PL"/>
        </w:rPr>
        <w:t>etnocentryzmem, dyskryminacją i wrogością wobec mniejszości</w:t>
      </w:r>
      <w:r w:rsidR="001724E6" w:rsidRPr="00D577C9">
        <w:rPr>
          <w:rFonts w:cs="Times New Roman"/>
          <w:iCs/>
          <w:lang w:val="pl-PL"/>
        </w:rPr>
        <w:t xml:space="preserve"> (</w:t>
      </w:r>
      <w:r w:rsidRPr="00D577C9">
        <w:rPr>
          <w:rFonts w:cs="Times New Roman"/>
          <w:iCs/>
          <w:lang w:val="pl-PL"/>
        </w:rPr>
        <w:t>np. migrantów, osób homoseksualnych, osób o innej niż dominująca w danym kraju religia</w:t>
      </w:r>
      <w:r w:rsidR="001724E6" w:rsidRPr="00D577C9">
        <w:rPr>
          <w:rFonts w:cs="Times New Roman"/>
          <w:iCs/>
          <w:lang w:val="pl-PL"/>
        </w:rPr>
        <w:t>)</w:t>
      </w:r>
      <w:r w:rsidRPr="00D577C9">
        <w:rPr>
          <w:rFonts w:cs="Times New Roman"/>
          <w:lang w:val="pl-PL"/>
        </w:rPr>
        <w:t xml:space="preserve">. Mowa nienawiści może przyjąć dowolny rodzaj i formę wypowiedzi (ustny/pisemny dyskurs, formalny/nieformalny rejestr, tekst specjalistyczny/niespecjalistyczny, tekst drukowany/blog internetowy, wpis na forum), a ich wspólnym mianownikiem jest cel, któremu służą, np. poniżenie, znieważenie, pomówienie, oskarżenie, ośmieszanie, wyszydzenie, rozbudzenie lub utrzymanie nienawiści wobec osoby lub grupy osób z przyczyn po części od niech niezależnych. </w:t>
      </w:r>
    </w:p>
    <w:p w14:paraId="572EE0F3" w14:textId="77777777" w:rsidR="001724E6" w:rsidRPr="00D577C9" w:rsidRDefault="001724E6" w:rsidP="00D577C9">
      <w:pPr>
        <w:ind w:firstLine="0"/>
        <w:rPr>
          <w:rFonts w:cs="Times New Roman"/>
          <w:lang w:val="pl-PL"/>
        </w:rPr>
      </w:pPr>
    </w:p>
    <w:p w14:paraId="3C78BABC" w14:textId="77777777" w:rsidR="009D4737" w:rsidRPr="00D577C9" w:rsidRDefault="009D4737" w:rsidP="00D577C9">
      <w:pPr>
        <w:ind w:firstLine="0"/>
        <w:rPr>
          <w:rFonts w:cs="Times New Roman"/>
          <w:lang w:val="pl-PL"/>
        </w:rPr>
      </w:pPr>
      <w:r w:rsidRPr="00D577C9">
        <w:rPr>
          <w:rFonts w:cs="Times New Roman"/>
          <w:lang w:val="pl-PL"/>
        </w:rPr>
        <w:t xml:space="preserve">Osoby </w:t>
      </w:r>
      <w:r w:rsidR="001724E6" w:rsidRPr="00D577C9">
        <w:rPr>
          <w:rFonts w:cs="Times New Roman"/>
          <w:lang w:val="pl-PL"/>
        </w:rPr>
        <w:t>uczęszczające</w:t>
      </w:r>
      <w:r w:rsidRPr="00D577C9">
        <w:rPr>
          <w:rFonts w:cs="Times New Roman"/>
          <w:lang w:val="pl-PL"/>
        </w:rPr>
        <w:t xml:space="preserve"> na to seminarium będą pisały pracę </w:t>
      </w:r>
      <w:r w:rsidR="001724E6" w:rsidRPr="00D577C9">
        <w:rPr>
          <w:rFonts w:cs="Times New Roman"/>
          <w:lang w:val="pl-PL"/>
        </w:rPr>
        <w:t xml:space="preserve">w języku angielskim </w:t>
      </w:r>
      <w:r w:rsidRPr="00D577C9">
        <w:rPr>
          <w:rFonts w:cs="Times New Roman"/>
          <w:lang w:val="pl-PL"/>
        </w:rPr>
        <w:t>w oparciu o jeden typ danych</w:t>
      </w:r>
      <w:r w:rsidR="001724E6" w:rsidRPr="00D577C9">
        <w:rPr>
          <w:rFonts w:cs="Times New Roman"/>
          <w:lang w:val="pl-PL"/>
        </w:rPr>
        <w:t xml:space="preserve">, tj. </w:t>
      </w:r>
      <w:r w:rsidRPr="00D577C9">
        <w:rPr>
          <w:rFonts w:cs="Times New Roman"/>
          <w:lang w:val="pl-PL"/>
        </w:rPr>
        <w:t>będących przykład</w:t>
      </w:r>
      <w:r w:rsidR="001724E6" w:rsidRPr="00D577C9">
        <w:rPr>
          <w:rFonts w:cs="Times New Roman"/>
          <w:lang w:val="pl-PL"/>
        </w:rPr>
        <w:t>em jednego typu mowy nienawiści, np. mowa nienawiści wobec osób transseksualnych na przykładzie wpisów na forum internetowym.</w:t>
      </w:r>
    </w:p>
    <w:p w14:paraId="7EA0A180" w14:textId="77777777" w:rsidR="00110631" w:rsidRPr="00D577C9" w:rsidRDefault="00110631" w:rsidP="00D577C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ind w:firstLine="0"/>
        <w:jc w:val="left"/>
        <w:rPr>
          <w:rFonts w:cs="Times New Roman"/>
          <w:lang w:val="pl-PL"/>
        </w:rPr>
      </w:pPr>
    </w:p>
    <w:p w14:paraId="73609838" w14:textId="77777777" w:rsidR="000F75DD" w:rsidRPr="00B608F5" w:rsidRDefault="000F75DD" w:rsidP="00D577C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ind w:firstLine="0"/>
        <w:jc w:val="left"/>
        <w:rPr>
          <w:rFonts w:cs="Times New Roman"/>
          <w:b/>
          <w:lang w:val="pl-PL"/>
        </w:rPr>
      </w:pPr>
      <w:r w:rsidRPr="00B608F5">
        <w:rPr>
          <w:rFonts w:cs="Times New Roman"/>
          <w:b/>
          <w:lang w:val="pl-PL"/>
        </w:rPr>
        <w:t>Literatura</w:t>
      </w:r>
    </w:p>
    <w:p w14:paraId="5BBC8BC3" w14:textId="77777777" w:rsidR="000F75DD" w:rsidRPr="00D577C9" w:rsidRDefault="000F75DD" w:rsidP="00B608F5">
      <w:pPr>
        <w:pStyle w:val="Default"/>
        <w:numPr>
          <w:ilvl w:val="0"/>
          <w:numId w:val="8"/>
        </w:numPr>
        <w:spacing w:line="360" w:lineRule="auto"/>
        <w:ind w:left="357" w:hanging="357"/>
        <w:jc w:val="both"/>
        <w:rPr>
          <w:lang w:val="en-GB"/>
        </w:rPr>
      </w:pPr>
      <w:r w:rsidRPr="00D577C9">
        <w:t>Adamczak-</w:t>
      </w:r>
      <w:proofErr w:type="spellStart"/>
      <w:r w:rsidRPr="00D577C9">
        <w:t>Krysztofowicz</w:t>
      </w:r>
      <w:proofErr w:type="spellEnd"/>
      <w:r w:rsidRPr="00D577C9">
        <w:t xml:space="preserve"> S. / Szczepaniak-Kozak A. (2017). </w:t>
      </w:r>
      <w:r w:rsidRPr="00D577C9">
        <w:rPr>
          <w:lang w:val="en-GB"/>
        </w:rPr>
        <w:t xml:space="preserve">A disturbing view of intercultural communication: Findings of a study into hate speech in Polish. </w:t>
      </w:r>
      <w:proofErr w:type="spellStart"/>
      <w:r w:rsidRPr="00D577C9">
        <w:rPr>
          <w:i/>
          <w:iCs/>
          <w:lang w:val="en-GB"/>
        </w:rPr>
        <w:t>Linguistika</w:t>
      </w:r>
      <w:proofErr w:type="spellEnd"/>
      <w:r w:rsidRPr="00D577C9">
        <w:rPr>
          <w:i/>
          <w:iCs/>
          <w:lang w:val="en-GB"/>
        </w:rPr>
        <w:t xml:space="preserve"> </w:t>
      </w:r>
      <w:proofErr w:type="spellStart"/>
      <w:r w:rsidRPr="00D577C9">
        <w:rPr>
          <w:i/>
          <w:iCs/>
          <w:lang w:val="en-GB"/>
        </w:rPr>
        <w:t>Silesiana</w:t>
      </w:r>
      <w:proofErr w:type="spellEnd"/>
      <w:r w:rsidRPr="00D577C9">
        <w:rPr>
          <w:i/>
          <w:iCs/>
          <w:lang w:val="en-GB"/>
        </w:rPr>
        <w:t xml:space="preserve"> 38</w:t>
      </w:r>
      <w:r w:rsidRPr="00D577C9">
        <w:rPr>
          <w:lang w:val="en-GB"/>
        </w:rPr>
        <w:t xml:space="preserve">, 294-301. </w:t>
      </w:r>
    </w:p>
    <w:p w14:paraId="6B4A9593" w14:textId="77777777" w:rsidR="000F75DD" w:rsidRPr="00D577C9" w:rsidRDefault="000F75DD" w:rsidP="00B608F5">
      <w:pPr>
        <w:pStyle w:val="Default"/>
        <w:numPr>
          <w:ilvl w:val="0"/>
          <w:numId w:val="8"/>
        </w:numPr>
        <w:spacing w:line="360" w:lineRule="auto"/>
        <w:ind w:left="357" w:hanging="357"/>
        <w:jc w:val="both"/>
        <w:rPr>
          <w:lang w:val="en-GB"/>
        </w:rPr>
      </w:pPr>
      <w:proofErr w:type="spellStart"/>
      <w:r w:rsidRPr="00D577C9">
        <w:rPr>
          <w:lang w:val="en-GB"/>
        </w:rPr>
        <w:t>Alaburić</w:t>
      </w:r>
      <w:proofErr w:type="spellEnd"/>
      <w:r w:rsidRPr="00D577C9">
        <w:rPr>
          <w:lang w:val="en-GB"/>
        </w:rPr>
        <w:t xml:space="preserve">, V. (2018). Legal concept of hate speech and jurisprudence of the European Court of Human Rights. </w:t>
      </w:r>
      <w:proofErr w:type="spellStart"/>
      <w:r w:rsidRPr="00D577C9">
        <w:rPr>
          <w:i/>
          <w:iCs/>
          <w:lang w:val="en-GB"/>
        </w:rPr>
        <w:t>Politička</w:t>
      </w:r>
      <w:proofErr w:type="spellEnd"/>
      <w:r w:rsidRPr="00D577C9">
        <w:rPr>
          <w:i/>
          <w:iCs/>
          <w:lang w:val="en-GB"/>
        </w:rPr>
        <w:t xml:space="preserve"> </w:t>
      </w:r>
      <w:proofErr w:type="spellStart"/>
      <w:r w:rsidRPr="00D577C9">
        <w:rPr>
          <w:i/>
          <w:iCs/>
          <w:lang w:val="en-GB"/>
        </w:rPr>
        <w:t>Misao</w:t>
      </w:r>
      <w:proofErr w:type="spellEnd"/>
      <w:r w:rsidRPr="00D577C9">
        <w:rPr>
          <w:i/>
          <w:iCs/>
          <w:lang w:val="en-GB"/>
        </w:rPr>
        <w:t>, 55 (4)</w:t>
      </w:r>
      <w:r w:rsidRPr="00D577C9">
        <w:rPr>
          <w:lang w:val="en-GB"/>
        </w:rPr>
        <w:t xml:space="preserve">, 230-252. https://doi.org/10.20901/pm.55.4.09 </w:t>
      </w:r>
    </w:p>
    <w:p w14:paraId="27590B29" w14:textId="77777777" w:rsidR="000F75DD" w:rsidRPr="00D577C9" w:rsidRDefault="000F75DD" w:rsidP="00B608F5">
      <w:pPr>
        <w:pStyle w:val="Default"/>
        <w:numPr>
          <w:ilvl w:val="0"/>
          <w:numId w:val="8"/>
        </w:numPr>
        <w:spacing w:line="360" w:lineRule="auto"/>
        <w:ind w:left="357" w:hanging="357"/>
        <w:jc w:val="both"/>
        <w:rPr>
          <w:lang w:val="en-GB"/>
        </w:rPr>
      </w:pPr>
      <w:proofErr w:type="spellStart"/>
      <w:r w:rsidRPr="00D577C9">
        <w:rPr>
          <w:lang w:val="en-GB"/>
        </w:rPr>
        <w:t>Assimakopoulos</w:t>
      </w:r>
      <w:proofErr w:type="spellEnd"/>
      <w:r w:rsidRPr="00D577C9">
        <w:rPr>
          <w:lang w:val="en-GB"/>
        </w:rPr>
        <w:t xml:space="preserve">, S. / </w:t>
      </w:r>
      <w:proofErr w:type="spellStart"/>
      <w:r w:rsidRPr="00D577C9">
        <w:rPr>
          <w:lang w:val="en-GB"/>
        </w:rPr>
        <w:t>Baider</w:t>
      </w:r>
      <w:proofErr w:type="spellEnd"/>
      <w:r w:rsidRPr="00D577C9">
        <w:rPr>
          <w:lang w:val="en-GB"/>
        </w:rPr>
        <w:t xml:space="preserve">, F. H. / Millar, S. (2017). Hate speech in the EU and the C.O.N.T.A.C.T. Project. In: S. </w:t>
      </w:r>
      <w:proofErr w:type="spellStart"/>
      <w:r w:rsidRPr="00D577C9">
        <w:rPr>
          <w:lang w:val="en-GB"/>
        </w:rPr>
        <w:t>Assimakopoulos</w:t>
      </w:r>
      <w:proofErr w:type="spellEnd"/>
      <w:r w:rsidRPr="00D577C9">
        <w:rPr>
          <w:lang w:val="en-GB"/>
        </w:rPr>
        <w:t xml:space="preserve"> / F. H. </w:t>
      </w:r>
      <w:proofErr w:type="spellStart"/>
      <w:r w:rsidRPr="00D577C9">
        <w:rPr>
          <w:lang w:val="en-GB"/>
        </w:rPr>
        <w:t>Baider</w:t>
      </w:r>
      <w:proofErr w:type="spellEnd"/>
      <w:r w:rsidRPr="00D577C9">
        <w:rPr>
          <w:lang w:val="en-GB"/>
        </w:rPr>
        <w:t xml:space="preserve"> / S. Millar (eds.), </w:t>
      </w:r>
      <w:r w:rsidRPr="00D577C9">
        <w:rPr>
          <w:i/>
          <w:iCs/>
          <w:lang w:val="en-GB"/>
        </w:rPr>
        <w:t xml:space="preserve">Online hate speech in the European Union. A discourse-analytic perspective </w:t>
      </w:r>
      <w:r w:rsidRPr="00D577C9">
        <w:rPr>
          <w:lang w:val="en-GB"/>
        </w:rPr>
        <w:t xml:space="preserve">(pp. 1-6). Cham, Switzerland: Springer International Publishing AG. https://doi.org/10.1007/978-3-319-72604-5 </w:t>
      </w:r>
    </w:p>
    <w:p w14:paraId="1E0DE6F5" w14:textId="77777777" w:rsidR="000F75DD" w:rsidRPr="00D577C9" w:rsidRDefault="000F75DD" w:rsidP="00B608F5">
      <w:pPr>
        <w:pStyle w:val="Default"/>
        <w:numPr>
          <w:ilvl w:val="0"/>
          <w:numId w:val="8"/>
        </w:numPr>
        <w:spacing w:line="360" w:lineRule="auto"/>
        <w:ind w:left="357" w:hanging="357"/>
        <w:jc w:val="both"/>
        <w:rPr>
          <w:lang w:val="en-GB"/>
        </w:rPr>
      </w:pPr>
      <w:proofErr w:type="spellStart"/>
      <w:r w:rsidRPr="00D577C9">
        <w:rPr>
          <w:lang w:val="en-GB"/>
        </w:rPr>
        <w:lastRenderedPageBreak/>
        <w:t>Assuncao</w:t>
      </w:r>
      <w:proofErr w:type="spellEnd"/>
      <w:r w:rsidRPr="00D577C9">
        <w:rPr>
          <w:lang w:val="en-GB"/>
        </w:rPr>
        <w:t xml:space="preserve">, C. (2016). “No girls on the Internet”: The experience of female gamers in the masculine space of violent gaming. </w:t>
      </w:r>
      <w:r w:rsidRPr="00D577C9">
        <w:rPr>
          <w:i/>
          <w:iCs/>
          <w:lang w:val="en-GB"/>
        </w:rPr>
        <w:t>Press Start, 3 (1)</w:t>
      </w:r>
      <w:r w:rsidRPr="00D577C9">
        <w:rPr>
          <w:lang w:val="en-GB"/>
        </w:rPr>
        <w:t xml:space="preserve">, 46-65. </w:t>
      </w:r>
    </w:p>
    <w:p w14:paraId="16620E49" w14:textId="77777777" w:rsidR="000F75DD" w:rsidRPr="00D577C9" w:rsidRDefault="000F75DD" w:rsidP="00B608F5">
      <w:pPr>
        <w:pStyle w:val="Default"/>
        <w:numPr>
          <w:ilvl w:val="0"/>
          <w:numId w:val="8"/>
        </w:numPr>
        <w:spacing w:line="360" w:lineRule="auto"/>
        <w:ind w:left="357" w:hanging="357"/>
        <w:jc w:val="both"/>
        <w:rPr>
          <w:lang w:val="en-GB"/>
        </w:rPr>
      </w:pPr>
      <w:r w:rsidRPr="00D577C9">
        <w:rPr>
          <w:lang w:val="en-GB"/>
        </w:rPr>
        <w:t xml:space="preserve">Basile, V. / Bosco, C. / </w:t>
      </w:r>
      <w:proofErr w:type="spellStart"/>
      <w:r w:rsidRPr="00D577C9">
        <w:rPr>
          <w:lang w:val="en-GB"/>
        </w:rPr>
        <w:t>Fersini</w:t>
      </w:r>
      <w:proofErr w:type="spellEnd"/>
      <w:r w:rsidRPr="00D577C9">
        <w:rPr>
          <w:lang w:val="en-GB"/>
        </w:rPr>
        <w:t xml:space="preserve">, E. / </w:t>
      </w:r>
      <w:proofErr w:type="spellStart"/>
      <w:r w:rsidRPr="00D577C9">
        <w:rPr>
          <w:lang w:val="en-GB"/>
        </w:rPr>
        <w:t>Nozza</w:t>
      </w:r>
      <w:proofErr w:type="spellEnd"/>
      <w:r w:rsidRPr="00D577C9">
        <w:rPr>
          <w:lang w:val="en-GB"/>
        </w:rPr>
        <w:t>, D. / Patti, V. / Pardo, F.M.R. / Rosso, P. / Sanguinetti, M. (2019). SemEval-2019 Task 5: Multilingual detection of hate speech against immigrants and women in Twitter</w:t>
      </w:r>
      <w:r w:rsidRPr="00D577C9">
        <w:rPr>
          <w:i/>
          <w:iCs/>
          <w:lang w:val="en-GB"/>
        </w:rPr>
        <w:t xml:space="preserve">. </w:t>
      </w:r>
      <w:r w:rsidRPr="00D577C9">
        <w:rPr>
          <w:lang w:val="en-GB"/>
        </w:rPr>
        <w:t xml:space="preserve">In: J. May / E. </w:t>
      </w:r>
      <w:proofErr w:type="spellStart"/>
      <w:r w:rsidRPr="00D577C9">
        <w:rPr>
          <w:lang w:val="en-GB"/>
        </w:rPr>
        <w:t>Shutova</w:t>
      </w:r>
      <w:proofErr w:type="spellEnd"/>
      <w:r w:rsidRPr="00D577C9">
        <w:rPr>
          <w:lang w:val="en-GB"/>
        </w:rPr>
        <w:t xml:space="preserve"> / A. </w:t>
      </w:r>
      <w:proofErr w:type="spellStart"/>
      <w:r w:rsidRPr="00D577C9">
        <w:rPr>
          <w:lang w:val="en-GB"/>
        </w:rPr>
        <w:t>Herbelot</w:t>
      </w:r>
      <w:proofErr w:type="spellEnd"/>
      <w:r w:rsidRPr="00D577C9">
        <w:rPr>
          <w:lang w:val="en-GB"/>
        </w:rPr>
        <w:t xml:space="preserve"> / X. Zhu / M. </w:t>
      </w:r>
      <w:proofErr w:type="spellStart"/>
      <w:r w:rsidRPr="00D577C9">
        <w:rPr>
          <w:lang w:val="en-GB"/>
        </w:rPr>
        <w:t>Apidianaki</w:t>
      </w:r>
      <w:proofErr w:type="spellEnd"/>
      <w:r w:rsidRPr="00D577C9">
        <w:rPr>
          <w:lang w:val="en-GB"/>
        </w:rPr>
        <w:t xml:space="preserve"> / S. M. Mohammad (eds.), </w:t>
      </w:r>
      <w:r w:rsidRPr="00D577C9">
        <w:rPr>
          <w:i/>
          <w:iCs/>
          <w:lang w:val="en-GB"/>
        </w:rPr>
        <w:t xml:space="preserve">The International Workshop on Semantic Evaluation, proceedings of the thirteenth workshop </w:t>
      </w:r>
      <w:r w:rsidRPr="00D577C9">
        <w:rPr>
          <w:lang w:val="en-GB"/>
        </w:rPr>
        <w:t xml:space="preserve">(pp. 54-63). Minneapolis, Minnesota: The Association for Computational Linguistics. https://doi.org/10.18653/v1/S19-2007 </w:t>
      </w:r>
    </w:p>
    <w:p w14:paraId="4ACAD2B9" w14:textId="77777777" w:rsidR="000F75DD" w:rsidRDefault="000F75DD" w:rsidP="00B608F5">
      <w:pPr>
        <w:pStyle w:val="Default"/>
        <w:numPr>
          <w:ilvl w:val="0"/>
          <w:numId w:val="8"/>
        </w:numPr>
        <w:spacing w:line="360" w:lineRule="auto"/>
        <w:ind w:left="357" w:hanging="357"/>
        <w:jc w:val="both"/>
      </w:pPr>
      <w:proofErr w:type="spellStart"/>
      <w:r w:rsidRPr="00B608F5">
        <w:t>Strani</w:t>
      </w:r>
      <w:proofErr w:type="spellEnd"/>
      <w:r w:rsidRPr="00B608F5">
        <w:t xml:space="preserve">, K. / Szczepaniak-Kozak, A. (2018). </w:t>
      </w:r>
      <w:r w:rsidRPr="00D577C9">
        <w:rPr>
          <w:lang w:val="en-GB"/>
        </w:rPr>
        <w:t xml:space="preserve">Strategies of othering through discursive practices: Examples from the UK and Poland. </w:t>
      </w:r>
      <w:proofErr w:type="spellStart"/>
      <w:r w:rsidRPr="00D577C9">
        <w:rPr>
          <w:i/>
          <w:iCs/>
        </w:rPr>
        <w:t>Lodz</w:t>
      </w:r>
      <w:proofErr w:type="spellEnd"/>
      <w:r w:rsidRPr="00D577C9">
        <w:rPr>
          <w:i/>
          <w:iCs/>
        </w:rPr>
        <w:t xml:space="preserve"> </w:t>
      </w:r>
      <w:proofErr w:type="spellStart"/>
      <w:r w:rsidRPr="00D577C9">
        <w:rPr>
          <w:i/>
          <w:iCs/>
        </w:rPr>
        <w:t>Papers</w:t>
      </w:r>
      <w:proofErr w:type="spellEnd"/>
      <w:r w:rsidRPr="00D577C9">
        <w:rPr>
          <w:i/>
          <w:iCs/>
        </w:rPr>
        <w:t xml:space="preserve"> in </w:t>
      </w:r>
      <w:proofErr w:type="spellStart"/>
      <w:r w:rsidRPr="00D577C9">
        <w:rPr>
          <w:i/>
          <w:iCs/>
        </w:rPr>
        <w:t>Pragmatics</w:t>
      </w:r>
      <w:proofErr w:type="spellEnd"/>
      <w:r w:rsidRPr="00D577C9">
        <w:t xml:space="preserve">, </w:t>
      </w:r>
      <w:r w:rsidRPr="00D577C9">
        <w:rPr>
          <w:i/>
          <w:iCs/>
        </w:rPr>
        <w:t>14, (1)</w:t>
      </w:r>
      <w:r w:rsidRPr="00D577C9">
        <w:t xml:space="preserve">, 163–179. doi.org/10.1515/lpp-2018-0008 </w:t>
      </w:r>
    </w:p>
    <w:p w14:paraId="6202D2A1" w14:textId="77777777" w:rsidR="00B608F5" w:rsidRPr="00D577C9" w:rsidRDefault="00B608F5" w:rsidP="00B608F5">
      <w:pPr>
        <w:pStyle w:val="Default"/>
        <w:spacing w:line="360" w:lineRule="auto"/>
        <w:ind w:left="3540" w:firstLine="708"/>
        <w:jc w:val="both"/>
      </w:pPr>
      <w:r>
        <w:t>etc.</w:t>
      </w:r>
    </w:p>
    <w:p w14:paraId="21575902" w14:textId="77777777" w:rsidR="00D577C9" w:rsidRPr="00D577C9" w:rsidRDefault="00D577C9" w:rsidP="00D577C9">
      <w:pPr>
        <w:ind w:firstLine="0"/>
        <w:rPr>
          <w:rFonts w:cs="Times New Roman"/>
          <w:color w:val="000000"/>
          <w:lang w:val="pl-PL"/>
        </w:rPr>
      </w:pPr>
    </w:p>
    <w:p w14:paraId="2EFE787F" w14:textId="77777777" w:rsidR="00D577C9" w:rsidRPr="00D577C9" w:rsidRDefault="00D577C9" w:rsidP="00D577C9">
      <w:pPr>
        <w:ind w:firstLine="0"/>
        <w:rPr>
          <w:rFonts w:cs="Times New Roman"/>
          <w:lang w:val="pl-PL"/>
        </w:rPr>
      </w:pPr>
      <w:r w:rsidRPr="00D577C9">
        <w:rPr>
          <w:rFonts w:cs="Times New Roman"/>
          <w:b/>
          <w:lang w:val="pl-PL"/>
        </w:rPr>
        <w:t>Wykładowca:</w:t>
      </w:r>
      <w:r w:rsidRPr="00D577C9">
        <w:rPr>
          <w:rFonts w:cs="Times New Roman"/>
          <w:lang w:val="pl-PL"/>
        </w:rPr>
        <w:t xml:space="preserve"> </w:t>
      </w:r>
      <w:r w:rsidRPr="00D577C9">
        <w:rPr>
          <w:rFonts w:cs="Times New Roman"/>
          <w:b/>
          <w:bCs/>
          <w:lang w:val="pl-PL"/>
        </w:rPr>
        <w:t>dr Artur Urbaniak</w:t>
      </w:r>
    </w:p>
    <w:p w14:paraId="736160A6" w14:textId="77777777" w:rsidR="00D577C9" w:rsidRPr="00D577C9" w:rsidRDefault="00D577C9" w:rsidP="00D577C9">
      <w:pPr>
        <w:ind w:firstLine="0"/>
        <w:rPr>
          <w:rFonts w:cs="Times New Roman"/>
          <w:b/>
          <w:lang w:val="pl-PL"/>
        </w:rPr>
      </w:pPr>
      <w:r w:rsidRPr="00D577C9">
        <w:rPr>
          <w:rFonts w:cs="Times New Roman"/>
          <w:b/>
          <w:lang w:val="pl-PL"/>
        </w:rPr>
        <w:t xml:space="preserve">Seminarium dyplomowe: </w:t>
      </w:r>
      <w:r w:rsidRPr="00D577C9">
        <w:rPr>
          <w:rFonts w:cs="Times New Roman"/>
          <w:b/>
          <w:bCs/>
          <w:lang w:val="pl-PL"/>
        </w:rPr>
        <w:t>Wystąpienia publiczne, retoryka i komunikowanie polityczne</w:t>
      </w:r>
      <w:r w:rsidRPr="00D577C9">
        <w:rPr>
          <w:rFonts w:cs="Times New Roman"/>
          <w:lang w:val="pl-PL"/>
        </w:rPr>
        <w:br/>
      </w:r>
      <w:r w:rsidRPr="00D577C9">
        <w:rPr>
          <w:rFonts w:cs="Times New Roman"/>
          <w:i/>
          <w:iCs/>
          <w:lang w:val="pl-PL"/>
        </w:rPr>
        <w:t xml:space="preserve">Public </w:t>
      </w:r>
      <w:proofErr w:type="spellStart"/>
      <w:r w:rsidRPr="00D577C9">
        <w:rPr>
          <w:rFonts w:cs="Times New Roman"/>
          <w:i/>
          <w:iCs/>
          <w:lang w:val="pl-PL"/>
        </w:rPr>
        <w:t>speaking</w:t>
      </w:r>
      <w:proofErr w:type="spellEnd"/>
      <w:r w:rsidRPr="00D577C9">
        <w:rPr>
          <w:rFonts w:cs="Times New Roman"/>
          <w:i/>
          <w:iCs/>
          <w:lang w:val="pl-PL"/>
        </w:rPr>
        <w:t xml:space="preserve">, </w:t>
      </w:r>
      <w:proofErr w:type="spellStart"/>
      <w:r w:rsidRPr="00D577C9">
        <w:rPr>
          <w:rFonts w:cs="Times New Roman"/>
          <w:i/>
          <w:iCs/>
          <w:lang w:val="pl-PL"/>
        </w:rPr>
        <w:t>rhetoric</w:t>
      </w:r>
      <w:proofErr w:type="spellEnd"/>
      <w:r w:rsidRPr="00D577C9">
        <w:rPr>
          <w:rFonts w:cs="Times New Roman"/>
          <w:i/>
          <w:iCs/>
          <w:lang w:val="pl-PL"/>
        </w:rPr>
        <w:t xml:space="preserve"> and </w:t>
      </w:r>
      <w:proofErr w:type="spellStart"/>
      <w:r w:rsidRPr="00D577C9">
        <w:rPr>
          <w:rFonts w:cs="Times New Roman"/>
          <w:i/>
          <w:iCs/>
          <w:lang w:val="pl-PL"/>
        </w:rPr>
        <w:t>political</w:t>
      </w:r>
      <w:proofErr w:type="spellEnd"/>
      <w:r w:rsidRPr="00D577C9">
        <w:rPr>
          <w:rFonts w:cs="Times New Roman"/>
          <w:i/>
          <w:iCs/>
          <w:lang w:val="pl-PL"/>
        </w:rPr>
        <w:t xml:space="preserve"> </w:t>
      </w:r>
      <w:proofErr w:type="spellStart"/>
      <w:r w:rsidRPr="00D577C9">
        <w:rPr>
          <w:rFonts w:cs="Times New Roman"/>
          <w:i/>
          <w:iCs/>
          <w:lang w:val="pl-PL"/>
        </w:rPr>
        <w:t>communication</w:t>
      </w:r>
      <w:proofErr w:type="spellEnd"/>
    </w:p>
    <w:p w14:paraId="79C5A933" w14:textId="77777777" w:rsidR="00D577C9" w:rsidRPr="00D577C9" w:rsidRDefault="00D577C9" w:rsidP="00D577C9">
      <w:pPr>
        <w:rPr>
          <w:rFonts w:cs="Times New Roman"/>
          <w:b/>
          <w:lang w:val="pl-PL"/>
        </w:rPr>
      </w:pPr>
      <w:r w:rsidRPr="00D577C9">
        <w:rPr>
          <w:rFonts w:cs="Times New Roman"/>
          <w:b/>
          <w:lang w:val="pl-PL"/>
        </w:rPr>
        <w:t>Opis:</w:t>
      </w:r>
    </w:p>
    <w:p w14:paraId="2EF9151F" w14:textId="77777777" w:rsidR="00D577C9" w:rsidRPr="00D577C9" w:rsidRDefault="00D577C9" w:rsidP="00D577C9">
      <w:pPr>
        <w:rPr>
          <w:rFonts w:cs="Times New Roman"/>
          <w:lang w:val="pl-PL"/>
        </w:rPr>
      </w:pPr>
      <w:r w:rsidRPr="00D577C9">
        <w:rPr>
          <w:rFonts w:cs="Times New Roman"/>
          <w:lang w:val="pl-PL"/>
        </w:rPr>
        <w:t xml:space="preserve">Tematyka seminarium oscyluje wokół szeroko pojętego zagadnienia komunikacji politycznej i kompetencji komunikacyjnych w przestrzeni publicznej (medialnej), z uwzględnieniem takich narzędzi jak analiza konwersacyjna i analiza dyskursu. W centrum zainteresowania znajdują się retoryka i </w:t>
      </w:r>
      <w:proofErr w:type="spellStart"/>
      <w:r w:rsidRPr="00D577C9">
        <w:rPr>
          <w:rFonts w:cs="Times New Roman"/>
          <w:lang w:val="pl-PL"/>
        </w:rPr>
        <w:t>pragmaretoryka</w:t>
      </w:r>
      <w:proofErr w:type="spellEnd"/>
      <w:r w:rsidRPr="00D577C9">
        <w:rPr>
          <w:rFonts w:cs="Times New Roman"/>
          <w:lang w:val="pl-PL"/>
        </w:rPr>
        <w:t xml:space="preserve">, perswazja, manipulacja, propaganda oraz błędy logiczne w argumentowaniu. Wymienione zjawiska badane są przez pryzmat języka wystąpień publicznych (wywiady, przemówienia, debaty, exposé)  oraz języka typowego dla pisemnego dyskursu politycznego (Twitter, Facebook, Instagram, </w:t>
      </w:r>
      <w:proofErr w:type="spellStart"/>
      <w:r w:rsidRPr="00D577C9">
        <w:rPr>
          <w:rFonts w:cs="Times New Roman"/>
          <w:lang w:val="pl-PL"/>
        </w:rPr>
        <w:t>Reddit</w:t>
      </w:r>
      <w:proofErr w:type="spellEnd"/>
      <w:r w:rsidRPr="00D577C9">
        <w:rPr>
          <w:rFonts w:cs="Times New Roman"/>
          <w:lang w:val="pl-PL"/>
        </w:rPr>
        <w:t xml:space="preserve">). Ponadto, osobnym zagadnieniem realizowanym w ramach seminarium jest zagadnienie komunikacji niewerbalnej w dyskursie politycznym (np. w debatach prezydenckich lub w wystąpieniach inauguracyjnych).    </w:t>
      </w:r>
    </w:p>
    <w:p w14:paraId="24AC0906" w14:textId="77777777" w:rsidR="00D577C9" w:rsidRPr="00D577C9" w:rsidRDefault="00D577C9" w:rsidP="00D577C9">
      <w:pPr>
        <w:rPr>
          <w:rFonts w:cs="Times New Roman"/>
          <w:b/>
          <w:lang w:val="pl-PL"/>
        </w:rPr>
      </w:pPr>
      <w:r w:rsidRPr="00D577C9">
        <w:rPr>
          <w:rFonts w:cs="Times New Roman"/>
          <w:b/>
          <w:lang w:val="pl-PL"/>
        </w:rPr>
        <w:t>Cele:</w:t>
      </w:r>
    </w:p>
    <w:p w14:paraId="76E2FEF2" w14:textId="77777777" w:rsidR="00D577C9" w:rsidRPr="00D577C9" w:rsidRDefault="00D577C9" w:rsidP="00D577C9">
      <w:pPr>
        <w:rPr>
          <w:rFonts w:cs="Times New Roman"/>
          <w:lang w:val="pl-PL"/>
        </w:rPr>
      </w:pPr>
      <w:r w:rsidRPr="00D577C9">
        <w:rPr>
          <w:rFonts w:cs="Times New Roman"/>
          <w:lang w:val="pl-PL"/>
        </w:rPr>
        <w:t xml:space="preserve">Celem seminarium jest przede wszystkim przygotowanie do napisania pracy dyplomowej, zapoznanie z metodologią badań oraz podstawowymi założeniami teoretycznymi potrzebnymi do stworzenia pracy. Ponadto, rozwija się umiejętność krytycznej analizy oraz obserwacji w oparciu o metody </w:t>
      </w:r>
      <w:proofErr w:type="spellStart"/>
      <w:r w:rsidRPr="00D577C9">
        <w:rPr>
          <w:rFonts w:cs="Times New Roman"/>
          <w:lang w:val="pl-PL"/>
        </w:rPr>
        <w:t>elenktyczną</w:t>
      </w:r>
      <w:proofErr w:type="spellEnd"/>
      <w:r w:rsidRPr="00D577C9">
        <w:rPr>
          <w:rFonts w:cs="Times New Roman"/>
          <w:lang w:val="pl-PL"/>
        </w:rPr>
        <w:t xml:space="preserve">, praktyczną i problemową. Język wystąpień publicznych / politycznych analizowany jest w oparciu o (krytyczną) analizę dyskursu (CDA) </w:t>
      </w:r>
      <w:proofErr w:type="spellStart"/>
      <w:r w:rsidRPr="00D577C9">
        <w:rPr>
          <w:rFonts w:cs="Times New Roman"/>
          <w:lang w:val="pl-PL"/>
        </w:rPr>
        <w:t>Teuna</w:t>
      </w:r>
      <w:proofErr w:type="spellEnd"/>
      <w:r w:rsidRPr="00D577C9">
        <w:rPr>
          <w:rFonts w:cs="Times New Roman"/>
          <w:lang w:val="pl-PL"/>
        </w:rPr>
        <w:t xml:space="preserve"> van </w:t>
      </w:r>
      <w:proofErr w:type="spellStart"/>
      <w:r w:rsidRPr="00D577C9">
        <w:rPr>
          <w:rFonts w:cs="Times New Roman"/>
          <w:lang w:val="pl-PL"/>
        </w:rPr>
        <w:t>Dijka</w:t>
      </w:r>
      <w:proofErr w:type="spellEnd"/>
      <w:r w:rsidRPr="00D577C9">
        <w:rPr>
          <w:rFonts w:cs="Times New Roman"/>
          <w:lang w:val="pl-PL"/>
        </w:rPr>
        <w:t xml:space="preserve"> lub analizę konwersacyjną Paula </w:t>
      </w:r>
      <w:proofErr w:type="spellStart"/>
      <w:r w:rsidRPr="00D577C9">
        <w:rPr>
          <w:rFonts w:cs="Times New Roman"/>
          <w:lang w:val="pl-PL"/>
        </w:rPr>
        <w:t>Grice’a</w:t>
      </w:r>
      <w:proofErr w:type="spellEnd"/>
      <w:r w:rsidRPr="00D577C9">
        <w:rPr>
          <w:rFonts w:cs="Times New Roman"/>
          <w:lang w:val="pl-PL"/>
        </w:rPr>
        <w:t xml:space="preserve">. </w:t>
      </w:r>
    </w:p>
    <w:p w14:paraId="7D5B8CF6" w14:textId="77777777" w:rsidR="00D577C9" w:rsidRPr="00D577C9" w:rsidRDefault="00D577C9" w:rsidP="00D577C9">
      <w:pPr>
        <w:rPr>
          <w:rFonts w:cs="Times New Roman"/>
          <w:lang w:val="pl-PL"/>
        </w:rPr>
      </w:pPr>
      <w:r w:rsidRPr="00D577C9">
        <w:rPr>
          <w:rFonts w:cs="Times New Roman"/>
          <w:lang w:val="pl-PL"/>
        </w:rPr>
        <w:lastRenderedPageBreak/>
        <w:t>Badania realizowane w ramach seminarium stawiają sobie za cel:</w:t>
      </w:r>
    </w:p>
    <w:p w14:paraId="3C3BADBB" w14:textId="77777777" w:rsidR="00D577C9" w:rsidRPr="00D577C9" w:rsidRDefault="00D577C9" w:rsidP="00D577C9">
      <w:pPr>
        <w:numPr>
          <w:ilvl w:val="0"/>
          <w:numId w:val="3"/>
        </w:numPr>
        <w:tabs>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spacing w:after="160"/>
        <w:jc w:val="left"/>
        <w:rPr>
          <w:rFonts w:cs="Times New Roman"/>
          <w:lang w:val="pl-PL"/>
        </w:rPr>
      </w:pPr>
      <w:r w:rsidRPr="00D577C9">
        <w:rPr>
          <w:rFonts w:cs="Times New Roman"/>
          <w:lang w:val="pl-PL"/>
        </w:rPr>
        <w:t>wyabstrahowanie cech typowych dla współczesnej komunikacji politycznej;</w:t>
      </w:r>
    </w:p>
    <w:p w14:paraId="5884BC38" w14:textId="77777777" w:rsidR="00D577C9" w:rsidRPr="00D577C9" w:rsidRDefault="00D577C9" w:rsidP="00D577C9">
      <w:pPr>
        <w:numPr>
          <w:ilvl w:val="0"/>
          <w:numId w:val="3"/>
        </w:numPr>
        <w:tabs>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spacing w:after="160"/>
        <w:jc w:val="left"/>
        <w:rPr>
          <w:rFonts w:cs="Times New Roman"/>
          <w:lang w:val="pl-PL"/>
        </w:rPr>
      </w:pPr>
      <w:r w:rsidRPr="00D577C9">
        <w:rPr>
          <w:rFonts w:cs="Times New Roman"/>
          <w:lang w:val="pl-PL"/>
        </w:rPr>
        <w:t xml:space="preserve">opisanie </w:t>
      </w:r>
      <w:proofErr w:type="spellStart"/>
      <w:r w:rsidRPr="00D577C9">
        <w:rPr>
          <w:rFonts w:cs="Times New Roman"/>
          <w:lang w:val="pl-PL"/>
        </w:rPr>
        <w:t>zachowań</w:t>
      </w:r>
      <w:proofErr w:type="spellEnd"/>
      <w:r w:rsidRPr="00D577C9">
        <w:rPr>
          <w:rFonts w:cs="Times New Roman"/>
          <w:lang w:val="pl-PL"/>
        </w:rPr>
        <w:t xml:space="preserve"> wyróżniających wytrawnego/skutecznego komunikatora (mówcę, retora); </w:t>
      </w:r>
    </w:p>
    <w:p w14:paraId="77358FA6" w14:textId="77777777" w:rsidR="00D577C9" w:rsidRPr="00D577C9" w:rsidRDefault="00D577C9" w:rsidP="00D577C9">
      <w:pPr>
        <w:numPr>
          <w:ilvl w:val="0"/>
          <w:numId w:val="3"/>
        </w:numPr>
        <w:tabs>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spacing w:after="160"/>
        <w:jc w:val="left"/>
        <w:rPr>
          <w:rFonts w:cs="Times New Roman"/>
          <w:lang w:val="pl-PL"/>
        </w:rPr>
      </w:pPr>
      <w:r w:rsidRPr="00D577C9">
        <w:rPr>
          <w:rFonts w:cs="Times New Roman"/>
          <w:lang w:val="pl-PL"/>
        </w:rPr>
        <w:t>zidentyfikowanie cech typowych dla komunikacji perswazyjnej / manipulacji / propagandy we współczesnym przekazie politycznym.</w:t>
      </w:r>
    </w:p>
    <w:p w14:paraId="5CD4D54E" w14:textId="77777777" w:rsidR="00D577C9" w:rsidRPr="00D577C9" w:rsidRDefault="00D577C9" w:rsidP="00D577C9">
      <w:pPr>
        <w:rPr>
          <w:rFonts w:cs="Times New Roman"/>
          <w:b/>
          <w:lang w:val="pl-PL"/>
        </w:rPr>
      </w:pPr>
      <w:r w:rsidRPr="00D577C9">
        <w:rPr>
          <w:rFonts w:cs="Times New Roman"/>
          <w:b/>
          <w:lang w:val="pl-PL"/>
        </w:rPr>
        <w:t>Warunki zaliczenia:</w:t>
      </w:r>
    </w:p>
    <w:p w14:paraId="6C07F0DE" w14:textId="77777777" w:rsidR="00D577C9" w:rsidRPr="00D577C9" w:rsidRDefault="00D577C9" w:rsidP="00D577C9">
      <w:pPr>
        <w:rPr>
          <w:rFonts w:cs="Times New Roman"/>
          <w:lang w:val="pl-PL"/>
        </w:rPr>
      </w:pPr>
      <w:r w:rsidRPr="00D577C9">
        <w:rPr>
          <w:rFonts w:cs="Times New Roman"/>
          <w:lang w:val="pl-PL"/>
        </w:rPr>
        <w:t xml:space="preserve">Zaangażowanie, udział w zajęciach, terminowe wykonywanie zadań. </w:t>
      </w:r>
    </w:p>
    <w:p w14:paraId="07B06532" w14:textId="77777777" w:rsidR="00D577C9" w:rsidRPr="00D577C9" w:rsidRDefault="00D577C9" w:rsidP="00D577C9">
      <w:pPr>
        <w:rPr>
          <w:rFonts w:cs="Times New Roman"/>
          <w:lang w:val="pl-PL"/>
        </w:rPr>
      </w:pPr>
    </w:p>
    <w:p w14:paraId="1526DC0D" w14:textId="77777777" w:rsidR="00D577C9" w:rsidRPr="00D577C9" w:rsidRDefault="00D577C9" w:rsidP="00D577C9">
      <w:pPr>
        <w:rPr>
          <w:rFonts w:cs="Times New Roman"/>
          <w:b/>
        </w:rPr>
      </w:pPr>
      <w:proofErr w:type="spellStart"/>
      <w:r w:rsidRPr="00D577C9">
        <w:rPr>
          <w:rFonts w:cs="Times New Roman"/>
          <w:b/>
        </w:rPr>
        <w:t>Literatura</w:t>
      </w:r>
      <w:proofErr w:type="spellEnd"/>
      <w:r w:rsidRPr="00D577C9">
        <w:rPr>
          <w:rFonts w:cs="Times New Roman"/>
          <w:b/>
        </w:rPr>
        <w:t>:</w:t>
      </w:r>
    </w:p>
    <w:p w14:paraId="0ED48AA2" w14:textId="77777777" w:rsidR="00D577C9" w:rsidRPr="00D577C9" w:rsidRDefault="00D577C9" w:rsidP="00B608F5">
      <w:pPr>
        <w:pStyle w:val="Legenda"/>
        <w:numPr>
          <w:ilvl w:val="0"/>
          <w:numId w:val="7"/>
        </w:numPr>
        <w:spacing w:line="360" w:lineRule="auto"/>
        <w:ind w:left="357" w:hanging="357"/>
        <w:rPr>
          <w:b w:val="0"/>
          <w:i/>
          <w:iCs/>
          <w:color w:val="auto"/>
          <w:sz w:val="24"/>
          <w:szCs w:val="24"/>
        </w:rPr>
      </w:pPr>
      <w:r w:rsidRPr="00D577C9">
        <w:rPr>
          <w:b w:val="0"/>
          <w:color w:val="auto"/>
          <w:sz w:val="24"/>
          <w:szCs w:val="24"/>
        </w:rPr>
        <w:t xml:space="preserve">Dijk, T. van, 2006. “Discourse and manipulation”. Discourse and Society 17(3), 359-383. </w:t>
      </w:r>
    </w:p>
    <w:p w14:paraId="0AD72D44" w14:textId="77777777" w:rsidR="00D577C9" w:rsidRPr="00B608F5" w:rsidRDefault="00D577C9" w:rsidP="00B608F5">
      <w:pPr>
        <w:pStyle w:val="Akapitzlist"/>
        <w:numPr>
          <w:ilvl w:val="0"/>
          <w:numId w:val="7"/>
        </w:numPr>
        <w:ind w:left="357" w:hanging="357"/>
        <w:rPr>
          <w:lang w:val="pl-PL"/>
        </w:rPr>
      </w:pPr>
      <w:r w:rsidRPr="00444FC4">
        <w:rPr>
          <w:lang w:val="pl-PL"/>
        </w:rPr>
        <w:t xml:space="preserve">Dobek-Ostrowska, B. 2007. </w:t>
      </w:r>
      <w:r w:rsidRPr="00B608F5">
        <w:rPr>
          <w:i/>
          <w:iCs/>
          <w:lang w:val="pl-PL"/>
        </w:rPr>
        <w:t>Komunikowanie polityczne i publiczne</w:t>
      </w:r>
      <w:r w:rsidRPr="00B608F5">
        <w:rPr>
          <w:lang w:val="pl-PL"/>
        </w:rPr>
        <w:t>. Warszawa: Wydawnictwo Naukowe PWN.</w:t>
      </w:r>
    </w:p>
    <w:p w14:paraId="7BF036F5" w14:textId="77777777" w:rsidR="00D577C9" w:rsidRPr="00B608F5" w:rsidRDefault="00D577C9" w:rsidP="00B608F5">
      <w:pPr>
        <w:pStyle w:val="Akapitzlist"/>
        <w:numPr>
          <w:ilvl w:val="0"/>
          <w:numId w:val="7"/>
        </w:numPr>
        <w:ind w:left="357" w:hanging="357"/>
        <w:rPr>
          <w:lang w:val="pl-PL"/>
        </w:rPr>
      </w:pPr>
      <w:r w:rsidRPr="00B608F5">
        <w:rPr>
          <w:lang w:val="pl-PL"/>
        </w:rPr>
        <w:t xml:space="preserve">Urbaniak A. 2014. </w:t>
      </w:r>
      <w:r w:rsidRPr="00B608F5">
        <w:rPr>
          <w:i/>
          <w:iCs/>
          <w:lang w:val="pl-PL"/>
        </w:rPr>
        <w:t>Rola elementów werbalnych i niewerbalnych w komunikacji politycznej końca XX i początku XXI wieku na podstawie analizy wybranych wystąpień medialnych polskich polityków</w:t>
      </w:r>
      <w:r w:rsidRPr="00B608F5">
        <w:rPr>
          <w:lang w:val="pl-PL"/>
        </w:rPr>
        <w:t xml:space="preserve">. Poznań: Katedra </w:t>
      </w:r>
      <w:proofErr w:type="spellStart"/>
      <w:r w:rsidRPr="00B608F5">
        <w:rPr>
          <w:lang w:val="pl-PL"/>
        </w:rPr>
        <w:t>Ekokomunikacji</w:t>
      </w:r>
      <w:proofErr w:type="spellEnd"/>
      <w:r w:rsidRPr="00B608F5">
        <w:rPr>
          <w:lang w:val="pl-PL"/>
        </w:rPr>
        <w:t xml:space="preserve"> UAM.</w:t>
      </w:r>
    </w:p>
    <w:p w14:paraId="49794A1E" w14:textId="77777777" w:rsidR="00D577C9" w:rsidRPr="00D577C9" w:rsidRDefault="00D577C9" w:rsidP="00D577C9">
      <w:pPr>
        <w:pStyle w:val="Default"/>
        <w:spacing w:line="360" w:lineRule="auto"/>
      </w:pPr>
    </w:p>
    <w:p w14:paraId="4D1D3724" w14:textId="77777777" w:rsidR="00D577C9" w:rsidRPr="00D577C9" w:rsidRDefault="00D577C9" w:rsidP="00B608F5">
      <w:pPr>
        <w:ind w:firstLine="0"/>
        <w:rPr>
          <w:rFonts w:cs="Times New Roman"/>
          <w:lang w:val="pl-PL"/>
        </w:rPr>
      </w:pPr>
      <w:r w:rsidRPr="00D577C9">
        <w:rPr>
          <w:rFonts w:cs="Times New Roman"/>
          <w:b/>
          <w:lang w:val="pl-PL"/>
        </w:rPr>
        <w:t>Wykładowca</w:t>
      </w:r>
      <w:r w:rsidRPr="00D577C9">
        <w:rPr>
          <w:rFonts w:cs="Times New Roman"/>
          <w:lang w:val="pl-PL"/>
        </w:rPr>
        <w:t>: Dorota Owczarek</w:t>
      </w:r>
    </w:p>
    <w:p w14:paraId="74D93C89" w14:textId="77777777" w:rsidR="00D577C9" w:rsidRPr="00D577C9" w:rsidRDefault="00D577C9" w:rsidP="00B608F5">
      <w:pPr>
        <w:ind w:firstLine="0"/>
        <w:rPr>
          <w:rFonts w:cs="Times New Roman"/>
          <w:lang w:val="pl-PL"/>
        </w:rPr>
      </w:pPr>
      <w:r w:rsidRPr="00D577C9">
        <w:rPr>
          <w:rFonts w:cs="Times New Roman"/>
          <w:b/>
          <w:lang w:val="pl-PL"/>
        </w:rPr>
        <w:t>Seminarium dyplomowe</w:t>
      </w:r>
      <w:r w:rsidRPr="00D577C9">
        <w:rPr>
          <w:rFonts w:cs="Times New Roman"/>
          <w:lang w:val="pl-PL"/>
        </w:rPr>
        <w:t>: Kultura i komunikacja</w:t>
      </w:r>
    </w:p>
    <w:p w14:paraId="4CF45984" w14:textId="77777777" w:rsidR="00D577C9" w:rsidRPr="00D577C9" w:rsidRDefault="00D577C9" w:rsidP="00B608F5">
      <w:pPr>
        <w:ind w:firstLine="0"/>
        <w:rPr>
          <w:rFonts w:cs="Times New Roman"/>
          <w:lang w:val="pl-PL"/>
        </w:rPr>
      </w:pPr>
      <w:r w:rsidRPr="00D577C9">
        <w:rPr>
          <w:rFonts w:cs="Times New Roman"/>
          <w:b/>
          <w:lang w:val="pl-PL"/>
        </w:rPr>
        <w:t>Opis</w:t>
      </w:r>
      <w:r w:rsidRPr="00D577C9">
        <w:rPr>
          <w:rFonts w:cs="Times New Roman"/>
          <w:lang w:val="pl-PL"/>
        </w:rPr>
        <w:t>: Seminarium poświęcone jest aspektom rozwijania interkulturowej kompetencji komunikacyjnej (co ma zastosowanie w biznesie czy na lekcji języka obcego) z uwzględnieniem podobieństw i różnic kulturowych pojawiających się na styku kultur. Podczas seminarium zostaną wprowadzone pojęcia takie jak szok kulturowy, incydenty kulturowe, pojęcie tzw. trzeciego miejsca, tekst kulturowy i sposoby jego interpretacji wraz ze stereotypami kulturowymi oraz  tożsamość pośrednika kulturowego. Ponadto, na kursie zostanie uwzględnione pojęcia kompetencji symbolicznej, uzupełniającej dotychczas szeroko stosowane pojęcie kompetencji interkulturowej jako lepiej odpowiadające współczesnym realiom.</w:t>
      </w:r>
    </w:p>
    <w:p w14:paraId="551AFFA2" w14:textId="77777777" w:rsidR="00D577C9" w:rsidRPr="00D577C9" w:rsidRDefault="00D577C9" w:rsidP="00D577C9">
      <w:pPr>
        <w:rPr>
          <w:rFonts w:cs="Times New Roman"/>
          <w:b/>
          <w:lang w:val="pl-PL"/>
        </w:rPr>
      </w:pPr>
      <w:r w:rsidRPr="00D577C9">
        <w:rPr>
          <w:rFonts w:cs="Times New Roman"/>
          <w:b/>
          <w:lang w:val="pl-PL"/>
        </w:rPr>
        <w:t xml:space="preserve">Cele: </w:t>
      </w:r>
    </w:p>
    <w:p w14:paraId="07CDCC29" w14:textId="77777777" w:rsidR="00D577C9" w:rsidRPr="00D577C9" w:rsidRDefault="00D577C9" w:rsidP="00D577C9">
      <w:pPr>
        <w:rPr>
          <w:rFonts w:cs="Times New Roman"/>
          <w:lang w:val="pl-PL"/>
        </w:rPr>
      </w:pPr>
      <w:r w:rsidRPr="00D577C9">
        <w:rPr>
          <w:rFonts w:cs="Times New Roman"/>
          <w:lang w:val="pl-PL"/>
        </w:rPr>
        <w:t xml:space="preserve">Celem kursu jest rozwijanie umiejętności obserwacji, analizy i syntezy na podstawie czytanych tekstów i danych uzyskanych w badaniach. Jeżeli chodzi o część badawczą pracy, postuluje się  analizę tekstów i zjawisk kulturowych z odwołaniem do semiotyki, czyli pojęcia </w:t>
      </w:r>
      <w:r w:rsidRPr="00D577C9">
        <w:rPr>
          <w:rFonts w:cs="Times New Roman"/>
          <w:lang w:val="pl-PL"/>
        </w:rPr>
        <w:lastRenderedPageBreak/>
        <w:t>znaku i kodu, a co za tym idzie, pokazanie związków kultury z językiem, np. w badaniach nad stereotypem. Analiza może być prowadzona również na przykładzie  tekstów kulturowych, takich jak reklamy, w oparciu o tzw. gramatykę obrazu. Ponadto analiza może również dotyczyć materiałów dostępnych w telewizji czy w Internecie ze zwróceniem uwagi na użycie języka wypowiedzi i jak wpływa to na przyjmowanie określonych ról przez jej uczestników oraz szerszy kontekst społeczno-kulturowy samej wypowiedzi. Dodatkowo, seminarium poświęcone jest również odkrywaniu własnej kultury poprzez prowadzenie obserwacji etnograficznych w terenie lub przeprowadzanie wywiadów na określony temat dotyczący przede wszystkim kultury rodzimej lub  stanu wiedzy na temat kultury obcej we własnym środowisku kulturowym.</w:t>
      </w:r>
    </w:p>
    <w:p w14:paraId="7D1E005B" w14:textId="77777777" w:rsidR="00D577C9" w:rsidRPr="00D577C9" w:rsidRDefault="00D577C9" w:rsidP="00D577C9">
      <w:pPr>
        <w:rPr>
          <w:rFonts w:cs="Times New Roman"/>
          <w:lang w:val="pl-PL"/>
        </w:rPr>
      </w:pPr>
      <w:r w:rsidRPr="00D577C9">
        <w:rPr>
          <w:rFonts w:cs="Times New Roman"/>
          <w:lang w:val="pl-PL"/>
        </w:rPr>
        <w:t xml:space="preserve">Na kursie zostaną przedstawione sposoby tworzenia prostych instrumentów wykorzystywanych w metodzie sondażu z zastosowaniem ankiety i wywiadu, które mogą być wykorzystane w części badawczej pracy. </w:t>
      </w:r>
    </w:p>
    <w:p w14:paraId="03009D7F" w14:textId="77777777" w:rsidR="00D577C9" w:rsidRPr="00D577C9" w:rsidRDefault="00D577C9" w:rsidP="00D577C9">
      <w:pPr>
        <w:rPr>
          <w:rFonts w:cs="Times New Roman"/>
          <w:lang w:val="pl-PL"/>
        </w:rPr>
      </w:pPr>
    </w:p>
    <w:p w14:paraId="49A6BD1F" w14:textId="77777777" w:rsidR="00D577C9" w:rsidRPr="00D577C9" w:rsidRDefault="00D577C9" w:rsidP="00D577C9">
      <w:pPr>
        <w:rPr>
          <w:rFonts w:cs="Times New Roman"/>
          <w:lang w:val="pl-PL"/>
        </w:rPr>
      </w:pPr>
      <w:r w:rsidRPr="00D577C9">
        <w:rPr>
          <w:rFonts w:cs="Times New Roman"/>
          <w:b/>
          <w:lang w:val="pl-PL"/>
        </w:rPr>
        <w:t>Warunki zaliczenia</w:t>
      </w:r>
      <w:r w:rsidRPr="00D577C9">
        <w:rPr>
          <w:rFonts w:cs="Times New Roman"/>
          <w:lang w:val="pl-PL"/>
        </w:rPr>
        <w:t>:</w:t>
      </w:r>
    </w:p>
    <w:p w14:paraId="1CB219A5" w14:textId="77777777" w:rsidR="00D577C9" w:rsidRPr="00D577C9" w:rsidRDefault="00D577C9" w:rsidP="00D577C9">
      <w:pPr>
        <w:rPr>
          <w:rFonts w:cs="Times New Roman"/>
          <w:lang w:val="pl-PL"/>
        </w:rPr>
      </w:pPr>
      <w:r w:rsidRPr="00D577C9">
        <w:rPr>
          <w:rFonts w:cs="Times New Roman"/>
          <w:lang w:val="pl-PL"/>
        </w:rPr>
        <w:t>W pierwszym semestrze : przedstawienie tematu pracy, planu pracy wraz z tezą , spisu literatury i pierwszego rozdziału teoretycznego.</w:t>
      </w:r>
    </w:p>
    <w:p w14:paraId="778E8F14" w14:textId="77777777" w:rsidR="00D577C9" w:rsidRPr="00D577C9" w:rsidRDefault="00D577C9" w:rsidP="00D577C9">
      <w:pPr>
        <w:rPr>
          <w:rFonts w:cs="Times New Roman"/>
          <w:lang w:val="pl-PL"/>
        </w:rPr>
      </w:pPr>
      <w:r w:rsidRPr="00D577C9">
        <w:rPr>
          <w:rFonts w:cs="Times New Roman"/>
          <w:lang w:val="pl-PL"/>
        </w:rPr>
        <w:t>W drugim semestrze: przedstawienie drugiego rozdziału teoretycznego, trzeciego rozdziału empirycznego, i całej kompletnej pracy wraz ze wstępem, streszczeniem i wnioskami oraz innymi elementami (spis literatury, streszczenie, spis tabel, spis wykresów, załączniki).</w:t>
      </w:r>
    </w:p>
    <w:p w14:paraId="3313DEB0" w14:textId="77777777" w:rsidR="00D577C9" w:rsidRPr="00D577C9" w:rsidRDefault="00D577C9" w:rsidP="00D577C9">
      <w:pPr>
        <w:rPr>
          <w:rFonts w:cs="Times New Roman"/>
          <w:lang w:val="pl-PL"/>
        </w:rPr>
      </w:pPr>
    </w:p>
    <w:p w14:paraId="1C52D97C" w14:textId="77777777" w:rsidR="00D577C9" w:rsidRPr="00D577C9" w:rsidRDefault="00D577C9" w:rsidP="00B608F5">
      <w:pPr>
        <w:ind w:firstLine="0"/>
        <w:rPr>
          <w:rFonts w:cs="Times New Roman"/>
        </w:rPr>
      </w:pPr>
      <w:proofErr w:type="spellStart"/>
      <w:r w:rsidRPr="00D577C9">
        <w:rPr>
          <w:rFonts w:cs="Times New Roman"/>
          <w:b/>
        </w:rPr>
        <w:t>Literatura</w:t>
      </w:r>
      <w:proofErr w:type="spellEnd"/>
      <w:r w:rsidRPr="00D577C9">
        <w:rPr>
          <w:rFonts w:cs="Times New Roman"/>
        </w:rPr>
        <w:t>:</w:t>
      </w:r>
    </w:p>
    <w:p w14:paraId="316E31D4" w14:textId="77777777" w:rsidR="00D577C9" w:rsidRPr="00B608F5" w:rsidRDefault="00D577C9" w:rsidP="00B608F5">
      <w:pPr>
        <w:pStyle w:val="Akapitzlist"/>
        <w:numPr>
          <w:ilvl w:val="0"/>
          <w:numId w:val="6"/>
        </w:numPr>
        <w:ind w:left="357" w:hanging="357"/>
      </w:pPr>
      <w:proofErr w:type="spellStart"/>
      <w:r w:rsidRPr="00B608F5">
        <w:t>Cierpisz</w:t>
      </w:r>
      <w:proofErr w:type="spellEnd"/>
      <w:r w:rsidRPr="00B608F5">
        <w:t xml:space="preserve"> Agata. 2019. “Dismantling intercultural competence – A proposal for interpreting the concept of critical cultural awareness in an L2 teaching context.” </w:t>
      </w:r>
      <w:proofErr w:type="spellStart"/>
      <w:r w:rsidRPr="00B608F5">
        <w:rPr>
          <w:i/>
        </w:rPr>
        <w:t>Neofilolog</w:t>
      </w:r>
      <w:proofErr w:type="spellEnd"/>
      <w:r w:rsidRPr="00B608F5">
        <w:t>.</w:t>
      </w:r>
    </w:p>
    <w:p w14:paraId="6B7A6C4D" w14:textId="77777777" w:rsidR="00D577C9" w:rsidRPr="00B608F5" w:rsidRDefault="00D577C9" w:rsidP="00B608F5">
      <w:pPr>
        <w:pStyle w:val="Akapitzlist"/>
        <w:numPr>
          <w:ilvl w:val="0"/>
          <w:numId w:val="6"/>
        </w:numPr>
        <w:ind w:left="357" w:hanging="357"/>
      </w:pPr>
      <w:r w:rsidRPr="00B608F5">
        <w:t xml:space="preserve">Corbett, John. 2003.  </w:t>
      </w:r>
      <w:r w:rsidRPr="00B608F5">
        <w:rPr>
          <w:i/>
        </w:rPr>
        <w:t>An intercultural approach to English language teaching</w:t>
      </w:r>
      <w:r w:rsidRPr="00B608F5">
        <w:t xml:space="preserve">. </w:t>
      </w:r>
      <w:proofErr w:type="spellStart"/>
      <w:r w:rsidRPr="00B608F5">
        <w:t>Clevedon</w:t>
      </w:r>
      <w:proofErr w:type="spellEnd"/>
      <w:r w:rsidRPr="00B608F5">
        <w:t xml:space="preserve">: Multilingual Matters. </w:t>
      </w:r>
    </w:p>
    <w:p w14:paraId="5299C174" w14:textId="77777777" w:rsidR="00D577C9" w:rsidRPr="00B608F5" w:rsidRDefault="00D577C9" w:rsidP="00B608F5">
      <w:pPr>
        <w:pStyle w:val="Akapitzlist"/>
        <w:numPr>
          <w:ilvl w:val="0"/>
          <w:numId w:val="6"/>
        </w:numPr>
        <w:ind w:left="357" w:hanging="357"/>
      </w:pPr>
      <w:proofErr w:type="spellStart"/>
      <w:r w:rsidRPr="00B608F5">
        <w:t>Fenner</w:t>
      </w:r>
      <w:proofErr w:type="spellEnd"/>
      <w:r w:rsidRPr="00B608F5">
        <w:t xml:space="preserve">, Anne-Brit. 2001. </w:t>
      </w:r>
      <w:r w:rsidRPr="00B608F5">
        <w:rPr>
          <w:i/>
        </w:rPr>
        <w:t>Cultural awareness and language awareness based on dialogic interaction with texts in foreign language learning</w:t>
      </w:r>
      <w:r w:rsidRPr="00B608F5">
        <w:t>.  Strasbourg: Council of Europe.</w:t>
      </w:r>
    </w:p>
    <w:p w14:paraId="6F9F662A" w14:textId="77777777" w:rsidR="00D577C9" w:rsidRPr="00B608F5" w:rsidRDefault="00D577C9" w:rsidP="00B608F5">
      <w:pPr>
        <w:pStyle w:val="Nagwek3"/>
        <w:numPr>
          <w:ilvl w:val="0"/>
          <w:numId w:val="6"/>
        </w:numPr>
        <w:shd w:val="clear" w:color="auto" w:fill="FFFFFF"/>
        <w:tabs>
          <w:tab w:val="left" w:pos="9072"/>
        </w:tabs>
        <w:spacing w:after="30"/>
        <w:ind w:left="357" w:hanging="357"/>
        <w:rPr>
          <w:rFonts w:cs="Times New Roman"/>
          <w:b w:val="0"/>
          <w:szCs w:val="24"/>
        </w:rPr>
      </w:pPr>
      <w:proofErr w:type="spellStart"/>
      <w:r w:rsidRPr="00B608F5">
        <w:rPr>
          <w:rFonts w:cs="Times New Roman"/>
          <w:b w:val="0"/>
          <w:bCs w:val="0"/>
          <w:szCs w:val="24"/>
        </w:rPr>
        <w:lastRenderedPageBreak/>
        <w:t>Kramsch</w:t>
      </w:r>
      <w:proofErr w:type="spellEnd"/>
      <w:r w:rsidRPr="00B608F5">
        <w:rPr>
          <w:rFonts w:cs="Times New Roman"/>
          <w:b w:val="0"/>
          <w:szCs w:val="24"/>
        </w:rPr>
        <w:t xml:space="preserve">, C A. </w:t>
      </w:r>
      <w:r w:rsidRPr="00B608F5">
        <w:rPr>
          <w:rFonts w:cs="Times New Roman"/>
          <w:b w:val="0"/>
          <w:bCs w:val="0"/>
          <w:szCs w:val="24"/>
        </w:rPr>
        <w:t xml:space="preserve">Whiteside. </w:t>
      </w:r>
      <w:r w:rsidRPr="00B608F5">
        <w:rPr>
          <w:rFonts w:cs="Times New Roman"/>
          <w:b w:val="0"/>
          <w:szCs w:val="24"/>
        </w:rPr>
        <w:t>2008. “Language ecology in multilingual settings. Towards a theory of symbolic competence</w:t>
      </w:r>
      <w:r w:rsidRPr="00B608F5">
        <w:rPr>
          <w:rFonts w:cs="Times New Roman"/>
          <w:b w:val="0"/>
          <w:bCs w:val="0"/>
          <w:szCs w:val="24"/>
        </w:rPr>
        <w:t xml:space="preserve">”, </w:t>
      </w:r>
      <w:r w:rsidRPr="00B608F5">
        <w:rPr>
          <w:rFonts w:cs="Times New Roman"/>
          <w:b w:val="0"/>
          <w:i/>
          <w:szCs w:val="24"/>
        </w:rPr>
        <w:t>Applied linguistics</w:t>
      </w:r>
      <w:r w:rsidRPr="00B608F5">
        <w:rPr>
          <w:rFonts w:cs="Times New Roman"/>
          <w:b w:val="0"/>
          <w:szCs w:val="24"/>
        </w:rPr>
        <w:t>, 29/4, 645-671.</w:t>
      </w:r>
    </w:p>
    <w:p w14:paraId="511F5018" w14:textId="77777777" w:rsidR="00D577C9" w:rsidRPr="00B608F5" w:rsidRDefault="00D577C9" w:rsidP="00B608F5">
      <w:pPr>
        <w:pStyle w:val="Nagwek3"/>
        <w:numPr>
          <w:ilvl w:val="0"/>
          <w:numId w:val="6"/>
        </w:numPr>
        <w:shd w:val="clear" w:color="auto" w:fill="FFFFFF"/>
        <w:spacing w:after="30"/>
        <w:ind w:left="357" w:right="1500" w:hanging="357"/>
        <w:rPr>
          <w:rStyle w:val="given-name"/>
          <w:rFonts w:cs="Times New Roman"/>
          <w:b w:val="0"/>
          <w:bCs w:val="0"/>
          <w:szCs w:val="24"/>
        </w:rPr>
      </w:pPr>
      <w:proofErr w:type="spellStart"/>
      <w:r w:rsidRPr="00B608F5">
        <w:rPr>
          <w:rFonts w:cs="Times New Roman"/>
          <w:b w:val="0"/>
          <w:bCs w:val="0"/>
          <w:szCs w:val="24"/>
        </w:rPr>
        <w:t>Kramsch</w:t>
      </w:r>
      <w:proofErr w:type="spellEnd"/>
      <w:r w:rsidRPr="00B608F5">
        <w:rPr>
          <w:rFonts w:cs="Times New Roman"/>
          <w:b w:val="0"/>
          <w:szCs w:val="24"/>
        </w:rPr>
        <w:t xml:space="preserve">, C., A. </w:t>
      </w:r>
      <w:r w:rsidRPr="00B608F5">
        <w:rPr>
          <w:rFonts w:cs="Times New Roman"/>
          <w:b w:val="0"/>
          <w:bCs w:val="0"/>
          <w:szCs w:val="24"/>
        </w:rPr>
        <w:t>Whiteside. 2015. “</w:t>
      </w:r>
      <w:r w:rsidRPr="00B608F5">
        <w:rPr>
          <w:rFonts w:cs="Times New Roman"/>
          <w:b w:val="0"/>
          <w:szCs w:val="24"/>
        </w:rPr>
        <w:t>What is symbolic competence and what can we do with it?</w:t>
      </w:r>
      <w:r w:rsidRPr="00B608F5">
        <w:rPr>
          <w:rFonts w:cs="Times New Roman"/>
          <w:b w:val="0"/>
          <w:bCs w:val="0"/>
          <w:szCs w:val="24"/>
        </w:rPr>
        <w:t xml:space="preserve"> </w:t>
      </w:r>
      <w:r w:rsidRPr="00B608F5">
        <w:rPr>
          <w:rFonts w:cs="Times New Roman"/>
          <w:b w:val="0"/>
          <w:szCs w:val="24"/>
        </w:rPr>
        <w:t>- Presentation at the Berkeley Language Centre.”</w:t>
      </w:r>
    </w:p>
    <w:p w14:paraId="395085DB" w14:textId="77777777" w:rsidR="00D577C9" w:rsidRPr="00B608F5" w:rsidRDefault="00D577C9" w:rsidP="00B608F5">
      <w:pPr>
        <w:pStyle w:val="Akapitzlist"/>
        <w:numPr>
          <w:ilvl w:val="0"/>
          <w:numId w:val="6"/>
        </w:numPr>
        <w:ind w:left="357" w:hanging="357"/>
        <w:textAlignment w:val="center"/>
      </w:pPr>
      <w:r w:rsidRPr="00B608F5">
        <w:rPr>
          <w:rStyle w:val="given-name"/>
        </w:rPr>
        <w:t>Michiko</w:t>
      </w:r>
      <w:r w:rsidRPr="00B608F5">
        <w:rPr>
          <w:rStyle w:val="react-xocs-alternative-link"/>
        </w:rPr>
        <w:t xml:space="preserve"> </w:t>
      </w:r>
      <w:proofErr w:type="spellStart"/>
      <w:r w:rsidRPr="00B608F5">
        <w:rPr>
          <w:rStyle w:val="text"/>
        </w:rPr>
        <w:t>Uryu</w:t>
      </w:r>
      <w:proofErr w:type="spellEnd"/>
      <w:r w:rsidRPr="00B608F5">
        <w:t xml:space="preserve">, </w:t>
      </w:r>
      <w:proofErr w:type="spellStart"/>
      <w:r w:rsidRPr="00B608F5">
        <w:rPr>
          <w:rStyle w:val="given-name"/>
        </w:rPr>
        <w:t>Sune</w:t>
      </w:r>
      <w:proofErr w:type="spellEnd"/>
      <w:r w:rsidRPr="00B608F5">
        <w:rPr>
          <w:rStyle w:val="given-name"/>
        </w:rPr>
        <w:t xml:space="preserve"> V.</w:t>
      </w:r>
      <w:r w:rsidRPr="00B608F5">
        <w:rPr>
          <w:rStyle w:val="react-xocs-alternative-link"/>
        </w:rPr>
        <w:t xml:space="preserve"> </w:t>
      </w:r>
      <w:proofErr w:type="spellStart"/>
      <w:r w:rsidRPr="00B608F5">
        <w:rPr>
          <w:rStyle w:val="text"/>
        </w:rPr>
        <w:t>Steffensen</w:t>
      </w:r>
      <w:proofErr w:type="spellEnd"/>
      <w:r w:rsidRPr="00B608F5">
        <w:t xml:space="preserve">, </w:t>
      </w:r>
      <w:r w:rsidRPr="00B608F5">
        <w:rPr>
          <w:rStyle w:val="given-name"/>
        </w:rPr>
        <w:t xml:space="preserve">Claire </w:t>
      </w:r>
      <w:proofErr w:type="spellStart"/>
      <w:r w:rsidRPr="00B608F5">
        <w:rPr>
          <w:rStyle w:val="text"/>
        </w:rPr>
        <w:t>Kramsch</w:t>
      </w:r>
      <w:proofErr w:type="spellEnd"/>
      <w:r w:rsidRPr="00B608F5">
        <w:rPr>
          <w:rStyle w:val="text"/>
        </w:rPr>
        <w:t xml:space="preserve">. </w:t>
      </w:r>
      <w:r w:rsidRPr="00B608F5">
        <w:t>2014.  “</w:t>
      </w:r>
      <w:r w:rsidRPr="00B608F5">
        <w:rPr>
          <w:rStyle w:val="title-text"/>
        </w:rPr>
        <w:t xml:space="preserve">The ecology of intercultural interaction: timescales, temporal ranges and identity dynamics.”  </w:t>
      </w:r>
      <w:hyperlink r:id="rId11" w:tooltip="Go to Language Sciences on ScienceDirect" w:history="1">
        <w:r w:rsidRPr="00B608F5">
          <w:rPr>
            <w:rStyle w:val="anchor-text"/>
            <w:bCs/>
            <w:i/>
          </w:rPr>
          <w:t>Language Sciences</w:t>
        </w:r>
      </w:hyperlink>
      <w:r w:rsidRPr="00B608F5">
        <w:t xml:space="preserve"> Vol. 14/ A, 41-59. </w:t>
      </w:r>
    </w:p>
    <w:p w14:paraId="612BF3EE" w14:textId="77777777" w:rsidR="00D577C9" w:rsidRPr="00444FC4" w:rsidRDefault="00D577C9" w:rsidP="00B608F5">
      <w:pPr>
        <w:pStyle w:val="Akapitzlist"/>
        <w:numPr>
          <w:ilvl w:val="0"/>
          <w:numId w:val="6"/>
        </w:numPr>
        <w:ind w:left="357" w:hanging="357"/>
      </w:pPr>
      <w:proofErr w:type="spellStart"/>
      <w:r w:rsidRPr="00B608F5">
        <w:t>Praxmarer</w:t>
      </w:r>
      <w:proofErr w:type="spellEnd"/>
      <w:r w:rsidRPr="00B608F5">
        <w:t xml:space="preserve">, Peter. </w:t>
      </w:r>
      <w:r w:rsidRPr="00B608F5">
        <w:rPr>
          <w:i/>
        </w:rPr>
        <w:t>Intercultural (Communicative) Competence. Script and Study Materials</w:t>
      </w:r>
      <w:r w:rsidRPr="00B608F5">
        <w:t xml:space="preserve">. </w:t>
      </w:r>
      <w:r w:rsidRPr="00444FC4">
        <w:t>USI 2009/2014.</w:t>
      </w:r>
    </w:p>
    <w:p w14:paraId="6E39D556" w14:textId="77777777" w:rsidR="00D577C9" w:rsidRPr="00B608F5" w:rsidRDefault="00D577C9" w:rsidP="00B608F5">
      <w:pPr>
        <w:pStyle w:val="Nagwek3"/>
        <w:numPr>
          <w:ilvl w:val="0"/>
          <w:numId w:val="6"/>
        </w:numPr>
        <w:shd w:val="clear" w:color="auto" w:fill="FFFFFF"/>
        <w:spacing w:after="30"/>
        <w:ind w:left="357" w:hanging="357"/>
        <w:rPr>
          <w:rFonts w:cs="Times New Roman"/>
          <w:b w:val="0"/>
          <w:bCs w:val="0"/>
          <w:szCs w:val="24"/>
        </w:rPr>
      </w:pPr>
      <w:proofErr w:type="spellStart"/>
      <w:r w:rsidRPr="00B608F5">
        <w:rPr>
          <w:rFonts w:cs="Times New Roman"/>
          <w:b w:val="0"/>
          <w:bCs w:val="0"/>
          <w:szCs w:val="24"/>
          <w:shd w:val="clear" w:color="auto" w:fill="FFFFFF"/>
          <w:lang w:val="pl-PL"/>
        </w:rPr>
        <w:t>Wilczyńska</w:t>
      </w:r>
      <w:r w:rsidRPr="00B608F5">
        <w:rPr>
          <w:rFonts w:cs="Times New Roman"/>
          <w:b w:val="0"/>
          <w:szCs w:val="24"/>
          <w:shd w:val="clear" w:color="auto" w:fill="FFFFFF"/>
          <w:lang w:val="pl-PL"/>
        </w:rPr>
        <w:t>,W</w:t>
      </w:r>
      <w:proofErr w:type="spellEnd"/>
      <w:r w:rsidRPr="00B608F5">
        <w:rPr>
          <w:rFonts w:cs="Times New Roman"/>
          <w:b w:val="0"/>
          <w:szCs w:val="24"/>
          <w:shd w:val="clear" w:color="auto" w:fill="FFFFFF"/>
          <w:lang w:val="pl-PL"/>
        </w:rPr>
        <w:t>., M Mackiewicz, J Krajka</w:t>
      </w:r>
      <w:r w:rsidRPr="00B608F5">
        <w:rPr>
          <w:rFonts w:cs="Times New Roman"/>
          <w:b w:val="0"/>
          <w:szCs w:val="24"/>
          <w:lang w:val="pl-PL"/>
        </w:rPr>
        <w:t xml:space="preserve">. </w:t>
      </w:r>
      <w:r w:rsidRPr="00B608F5">
        <w:rPr>
          <w:rFonts w:cs="Times New Roman"/>
          <w:b w:val="0"/>
          <w:szCs w:val="24"/>
          <w:shd w:val="clear" w:color="auto" w:fill="FFFFFF"/>
          <w:lang w:val="pl-PL"/>
        </w:rPr>
        <w:t xml:space="preserve">2019. </w:t>
      </w:r>
      <w:r w:rsidRPr="00B608F5">
        <w:rPr>
          <w:rFonts w:cs="Times New Roman"/>
          <w:b w:val="0"/>
          <w:bCs w:val="0"/>
          <w:i/>
          <w:szCs w:val="24"/>
          <w:lang w:val="pl-PL"/>
        </w:rPr>
        <w:t>Komunikacja interkulturowa: wprowadzenie.</w:t>
      </w:r>
      <w:r w:rsidRPr="00B608F5">
        <w:rPr>
          <w:rFonts w:cs="Times New Roman"/>
          <w:b w:val="0"/>
          <w:bCs w:val="0"/>
          <w:szCs w:val="24"/>
          <w:lang w:val="pl-PL"/>
        </w:rPr>
        <w:t xml:space="preserve"> </w:t>
      </w:r>
      <w:r w:rsidRPr="00444FC4">
        <w:rPr>
          <w:rFonts w:cs="Times New Roman"/>
          <w:b w:val="0"/>
          <w:szCs w:val="24"/>
          <w:shd w:val="clear" w:color="auto" w:fill="FFFFFF"/>
          <w:lang w:val="pl-PL"/>
        </w:rPr>
        <w:t xml:space="preserve">Wydawnictwo Naukowe im. </w:t>
      </w:r>
      <w:proofErr w:type="spellStart"/>
      <w:r w:rsidRPr="00B608F5">
        <w:rPr>
          <w:rFonts w:cs="Times New Roman"/>
          <w:b w:val="0"/>
          <w:szCs w:val="24"/>
          <w:shd w:val="clear" w:color="auto" w:fill="FFFFFF"/>
        </w:rPr>
        <w:t>Adama</w:t>
      </w:r>
      <w:proofErr w:type="spellEnd"/>
      <w:r w:rsidRPr="00B608F5">
        <w:rPr>
          <w:rFonts w:cs="Times New Roman"/>
          <w:b w:val="0"/>
          <w:szCs w:val="24"/>
          <w:shd w:val="clear" w:color="auto" w:fill="FFFFFF"/>
        </w:rPr>
        <w:t xml:space="preserve"> </w:t>
      </w:r>
      <w:proofErr w:type="spellStart"/>
      <w:r w:rsidRPr="00B608F5">
        <w:rPr>
          <w:rFonts w:cs="Times New Roman"/>
          <w:b w:val="0"/>
          <w:szCs w:val="24"/>
          <w:shd w:val="clear" w:color="auto" w:fill="FFFFFF"/>
        </w:rPr>
        <w:t>Mickiewicza</w:t>
      </w:r>
      <w:proofErr w:type="spellEnd"/>
      <w:r w:rsidRPr="00B608F5">
        <w:rPr>
          <w:rFonts w:cs="Times New Roman"/>
          <w:b w:val="0"/>
          <w:szCs w:val="24"/>
          <w:shd w:val="clear" w:color="auto" w:fill="FFFFFF"/>
        </w:rPr>
        <w:t>.</w:t>
      </w:r>
    </w:p>
    <w:p w14:paraId="3BBA4951" w14:textId="77777777" w:rsidR="00B608F5" w:rsidRDefault="00B608F5" w:rsidP="00B608F5">
      <w:pPr>
        <w:ind w:firstLine="0"/>
        <w:rPr>
          <w:rFonts w:cs="Times New Roman"/>
          <w:color w:val="000000"/>
          <w:lang w:val="pl-PL"/>
        </w:rPr>
      </w:pPr>
    </w:p>
    <w:p w14:paraId="749B72AD" w14:textId="77777777" w:rsidR="00B608F5" w:rsidRPr="00B608F5" w:rsidRDefault="00B608F5" w:rsidP="00B608F5">
      <w:pPr>
        <w:ind w:firstLine="0"/>
        <w:rPr>
          <w:lang w:val="pl-PL"/>
        </w:rPr>
      </w:pPr>
      <w:r w:rsidRPr="00B608F5">
        <w:rPr>
          <w:b/>
          <w:lang w:val="pl-PL"/>
        </w:rPr>
        <w:t>Wykładowca</w:t>
      </w:r>
      <w:r w:rsidRPr="00B608F5">
        <w:rPr>
          <w:lang w:val="pl-PL"/>
        </w:rPr>
        <w:t>: dr Augustyn Surdyk</w:t>
      </w:r>
    </w:p>
    <w:p w14:paraId="0A8B5747" w14:textId="77777777" w:rsidR="00B608F5" w:rsidRPr="00B608F5" w:rsidRDefault="00B608F5" w:rsidP="00B608F5">
      <w:pPr>
        <w:ind w:firstLine="0"/>
        <w:rPr>
          <w:lang w:val="pl-PL"/>
        </w:rPr>
      </w:pPr>
      <w:r w:rsidRPr="00B608F5">
        <w:rPr>
          <w:b/>
          <w:lang w:val="pl-PL"/>
        </w:rPr>
        <w:t>Seminarium dyplomowe:</w:t>
      </w:r>
      <w:r w:rsidRPr="00B608F5">
        <w:rPr>
          <w:lang w:val="pl-PL"/>
        </w:rPr>
        <w:t xml:space="preserve"> Glottodydaktyka, </w:t>
      </w:r>
      <w:proofErr w:type="spellStart"/>
      <w:r w:rsidRPr="00B608F5">
        <w:rPr>
          <w:lang w:val="pl-PL"/>
        </w:rPr>
        <w:t>ludologia</w:t>
      </w:r>
      <w:proofErr w:type="spellEnd"/>
    </w:p>
    <w:p w14:paraId="1E9FFF29" w14:textId="77777777" w:rsidR="00B608F5" w:rsidRPr="00B608F5" w:rsidRDefault="00B608F5" w:rsidP="00B608F5">
      <w:pPr>
        <w:ind w:firstLine="0"/>
        <w:rPr>
          <w:b/>
          <w:lang w:val="pl-PL"/>
        </w:rPr>
      </w:pPr>
      <w:r w:rsidRPr="00B608F5">
        <w:rPr>
          <w:b/>
          <w:lang w:val="pl-PL"/>
        </w:rPr>
        <w:t xml:space="preserve">Opis: </w:t>
      </w:r>
      <w:r w:rsidRPr="00B608F5">
        <w:rPr>
          <w:rFonts w:cs="Times New Roman"/>
          <w:lang w:val="pl-PL"/>
        </w:rPr>
        <w:t xml:space="preserve">Zakres tematyki seminarium: </w:t>
      </w:r>
    </w:p>
    <w:p w14:paraId="7B0C7C7E" w14:textId="77777777" w:rsidR="00B608F5" w:rsidRPr="00B608F5" w:rsidRDefault="00B608F5" w:rsidP="00B608F5">
      <w:pPr>
        <w:autoSpaceDE w:val="0"/>
        <w:autoSpaceDN w:val="0"/>
        <w:adjustRightInd w:val="0"/>
        <w:rPr>
          <w:color w:val="000000"/>
          <w:lang w:val="pl-PL"/>
        </w:rPr>
      </w:pPr>
      <w:r w:rsidRPr="00B608F5">
        <w:rPr>
          <w:color w:val="000000"/>
          <w:lang w:val="pl-PL"/>
        </w:rPr>
        <w:t xml:space="preserve">- metodyka nauczania języka obcego (w szczególności j. angielskiego), </w:t>
      </w:r>
    </w:p>
    <w:p w14:paraId="2910DB3F" w14:textId="77777777" w:rsidR="00B608F5" w:rsidRPr="00B608F5" w:rsidRDefault="00B608F5" w:rsidP="00B608F5">
      <w:pPr>
        <w:autoSpaceDE w:val="0"/>
        <w:autoSpaceDN w:val="0"/>
        <w:adjustRightInd w:val="0"/>
        <w:rPr>
          <w:color w:val="000000"/>
          <w:lang w:val="pl-PL"/>
        </w:rPr>
      </w:pPr>
      <w:r w:rsidRPr="00B608F5">
        <w:rPr>
          <w:color w:val="000000"/>
          <w:lang w:val="pl-PL"/>
        </w:rPr>
        <w:t>- autonomizacja procesu glottodydaktycznego,</w:t>
      </w:r>
    </w:p>
    <w:p w14:paraId="06B7C1E7" w14:textId="77777777" w:rsidR="00B608F5" w:rsidRPr="00B608F5" w:rsidRDefault="00B608F5" w:rsidP="00B608F5">
      <w:pPr>
        <w:autoSpaceDE w:val="0"/>
        <w:autoSpaceDN w:val="0"/>
        <w:adjustRightInd w:val="0"/>
        <w:rPr>
          <w:lang w:val="pl-PL"/>
        </w:rPr>
      </w:pPr>
      <w:r w:rsidRPr="00B608F5">
        <w:rPr>
          <w:color w:val="000000"/>
          <w:lang w:val="pl-PL"/>
        </w:rPr>
        <w:t xml:space="preserve">- </w:t>
      </w:r>
      <w:proofErr w:type="spellStart"/>
      <w:r w:rsidRPr="00B608F5">
        <w:rPr>
          <w:lang w:val="pl-PL"/>
        </w:rPr>
        <w:t>ludologia</w:t>
      </w:r>
      <w:proofErr w:type="spellEnd"/>
      <w:r w:rsidRPr="00B608F5">
        <w:rPr>
          <w:lang w:val="pl-PL"/>
        </w:rPr>
        <w:t xml:space="preserve"> (ang. </w:t>
      </w:r>
      <w:proofErr w:type="spellStart"/>
      <w:r w:rsidRPr="00B608F5">
        <w:rPr>
          <w:i/>
          <w:iCs/>
          <w:lang w:val="pl-PL"/>
        </w:rPr>
        <w:t>ludology</w:t>
      </w:r>
      <w:proofErr w:type="spellEnd"/>
      <w:r w:rsidRPr="00B608F5">
        <w:rPr>
          <w:lang w:val="pl-PL"/>
        </w:rPr>
        <w:t>/</w:t>
      </w:r>
      <w:proofErr w:type="spellStart"/>
      <w:r w:rsidRPr="00B608F5">
        <w:rPr>
          <w:i/>
          <w:iCs/>
          <w:lang w:val="pl-PL"/>
        </w:rPr>
        <w:t>games</w:t>
      </w:r>
      <w:proofErr w:type="spellEnd"/>
      <w:r w:rsidRPr="00B608F5">
        <w:rPr>
          <w:i/>
          <w:iCs/>
          <w:lang w:val="pl-PL"/>
        </w:rPr>
        <w:t xml:space="preserve"> </w:t>
      </w:r>
      <w:proofErr w:type="spellStart"/>
      <w:r w:rsidRPr="00B608F5">
        <w:rPr>
          <w:i/>
          <w:iCs/>
          <w:lang w:val="pl-PL"/>
        </w:rPr>
        <w:t>research</w:t>
      </w:r>
      <w:proofErr w:type="spellEnd"/>
      <w:r w:rsidRPr="00B608F5">
        <w:rPr>
          <w:lang w:val="pl-PL"/>
        </w:rPr>
        <w:t>/</w:t>
      </w:r>
      <w:proofErr w:type="spellStart"/>
      <w:r w:rsidRPr="00B608F5">
        <w:rPr>
          <w:i/>
          <w:iCs/>
          <w:lang w:val="pl-PL"/>
        </w:rPr>
        <w:t>game</w:t>
      </w:r>
      <w:proofErr w:type="spellEnd"/>
      <w:r w:rsidRPr="00B608F5">
        <w:rPr>
          <w:i/>
          <w:iCs/>
          <w:lang w:val="pl-PL"/>
        </w:rPr>
        <w:t xml:space="preserve"> </w:t>
      </w:r>
      <w:proofErr w:type="spellStart"/>
      <w:r w:rsidRPr="00B608F5">
        <w:rPr>
          <w:i/>
          <w:iCs/>
          <w:lang w:val="pl-PL"/>
        </w:rPr>
        <w:t>studies</w:t>
      </w:r>
      <w:proofErr w:type="spellEnd"/>
      <w:r w:rsidRPr="00B608F5">
        <w:rPr>
          <w:lang w:val="pl-PL"/>
        </w:rPr>
        <w:t xml:space="preserve">), gamifikacja/grywalizacja (ang. </w:t>
      </w:r>
      <w:proofErr w:type="spellStart"/>
      <w:r w:rsidRPr="00B608F5">
        <w:rPr>
          <w:i/>
          <w:iCs/>
          <w:lang w:val="pl-PL"/>
        </w:rPr>
        <w:t>gamification</w:t>
      </w:r>
      <w:proofErr w:type="spellEnd"/>
      <w:r w:rsidRPr="00B608F5">
        <w:rPr>
          <w:lang w:val="pl-PL"/>
        </w:rPr>
        <w:t>) w edukacji, strategia ludyczna i techniki ludyczne (</w:t>
      </w:r>
      <w:proofErr w:type="spellStart"/>
      <w:r w:rsidRPr="00B608F5">
        <w:rPr>
          <w:lang w:val="pl-PL"/>
        </w:rPr>
        <w:t>ang</w:t>
      </w:r>
      <w:proofErr w:type="spellEnd"/>
      <w:r w:rsidRPr="00B608F5">
        <w:rPr>
          <w:lang w:val="pl-PL"/>
        </w:rPr>
        <w:t xml:space="preserve"> </w:t>
      </w:r>
      <w:proofErr w:type="spellStart"/>
      <w:r w:rsidRPr="00B608F5">
        <w:rPr>
          <w:i/>
          <w:iCs/>
          <w:lang w:val="pl-PL"/>
        </w:rPr>
        <w:t>ludic</w:t>
      </w:r>
      <w:proofErr w:type="spellEnd"/>
      <w:r w:rsidRPr="00B608F5">
        <w:rPr>
          <w:i/>
          <w:iCs/>
          <w:lang w:val="pl-PL"/>
        </w:rPr>
        <w:t xml:space="preserve"> </w:t>
      </w:r>
      <w:proofErr w:type="spellStart"/>
      <w:r w:rsidRPr="00B608F5">
        <w:rPr>
          <w:i/>
          <w:iCs/>
          <w:lang w:val="pl-PL"/>
        </w:rPr>
        <w:t>strategy</w:t>
      </w:r>
      <w:proofErr w:type="spellEnd"/>
      <w:r w:rsidRPr="00B608F5">
        <w:rPr>
          <w:lang w:val="pl-PL"/>
        </w:rPr>
        <w:t xml:space="preserve">, </w:t>
      </w:r>
      <w:proofErr w:type="spellStart"/>
      <w:r w:rsidRPr="00B608F5">
        <w:rPr>
          <w:i/>
          <w:iCs/>
          <w:lang w:val="pl-PL"/>
        </w:rPr>
        <w:t>ludic</w:t>
      </w:r>
      <w:proofErr w:type="spellEnd"/>
      <w:r w:rsidRPr="00B608F5">
        <w:rPr>
          <w:i/>
          <w:iCs/>
          <w:lang w:val="pl-PL"/>
        </w:rPr>
        <w:t xml:space="preserve"> </w:t>
      </w:r>
      <w:proofErr w:type="spellStart"/>
      <w:r w:rsidRPr="00B608F5">
        <w:rPr>
          <w:i/>
          <w:iCs/>
          <w:lang w:val="pl-PL"/>
        </w:rPr>
        <w:t>techniques</w:t>
      </w:r>
      <w:proofErr w:type="spellEnd"/>
      <w:r w:rsidRPr="00B608F5">
        <w:rPr>
          <w:lang w:val="pl-PL"/>
        </w:rPr>
        <w:t xml:space="preserve">) w glottodydaktyce, </w:t>
      </w:r>
    </w:p>
    <w:p w14:paraId="52966F5E" w14:textId="77777777" w:rsidR="00B608F5" w:rsidRPr="00B608F5" w:rsidRDefault="00B608F5" w:rsidP="00B608F5">
      <w:pPr>
        <w:autoSpaceDE w:val="0"/>
        <w:autoSpaceDN w:val="0"/>
        <w:adjustRightInd w:val="0"/>
        <w:rPr>
          <w:color w:val="000000"/>
          <w:lang w:val="pl-PL"/>
        </w:rPr>
      </w:pPr>
      <w:r w:rsidRPr="00B608F5">
        <w:rPr>
          <w:color w:val="000000"/>
          <w:lang w:val="pl-PL"/>
        </w:rPr>
        <w:t xml:space="preserve">- </w:t>
      </w:r>
      <w:proofErr w:type="spellStart"/>
      <w:r w:rsidRPr="00B608F5">
        <w:rPr>
          <w:color w:val="000000"/>
          <w:lang w:val="pl-PL"/>
        </w:rPr>
        <w:t>realioznawstwo</w:t>
      </w:r>
      <w:proofErr w:type="spellEnd"/>
      <w:r w:rsidRPr="00B608F5">
        <w:rPr>
          <w:color w:val="000000"/>
          <w:lang w:val="pl-PL"/>
        </w:rPr>
        <w:t xml:space="preserve"> i kulturoznawstwo krajów angielskiego obszaru językowego,</w:t>
      </w:r>
    </w:p>
    <w:p w14:paraId="703B48AE" w14:textId="77777777" w:rsidR="00B608F5" w:rsidRPr="00B608F5" w:rsidRDefault="00B608F5" w:rsidP="00B608F5">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autoSpaceDE w:val="0"/>
        <w:autoSpaceDN w:val="0"/>
        <w:adjustRightInd w:val="0"/>
        <w:spacing w:after="9"/>
        <w:ind w:firstLine="0"/>
        <w:jc w:val="left"/>
        <w:rPr>
          <w:rFonts w:cs="Times New Roman"/>
          <w:color w:val="000000"/>
          <w:lang w:val="pl-PL"/>
        </w:rPr>
      </w:pPr>
      <w:r w:rsidRPr="00B608F5">
        <w:rPr>
          <w:rFonts w:cs="Times New Roman"/>
          <w:color w:val="000000"/>
          <w:lang w:val="pl-PL"/>
        </w:rPr>
        <w:t>- wybrane zagadnienia z zakresu językoznawstwa (kontrastywnego/komparatywnego polsko-angielskiego, gramatyki opisowej – fonetyki i fonologii),</w:t>
      </w:r>
    </w:p>
    <w:p w14:paraId="2D602BC1" w14:textId="77777777" w:rsidR="00B608F5" w:rsidRPr="00B608F5" w:rsidRDefault="00B608F5" w:rsidP="00B608F5">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autoSpaceDE w:val="0"/>
        <w:autoSpaceDN w:val="0"/>
        <w:adjustRightInd w:val="0"/>
        <w:spacing w:after="9"/>
        <w:ind w:firstLine="0"/>
        <w:jc w:val="left"/>
        <w:rPr>
          <w:rFonts w:cs="Times New Roman"/>
          <w:color w:val="000000"/>
          <w:lang w:val="pl-PL"/>
        </w:rPr>
      </w:pPr>
      <w:r w:rsidRPr="00B608F5">
        <w:rPr>
          <w:rFonts w:cs="Times New Roman"/>
          <w:color w:val="000000"/>
          <w:lang w:val="pl-PL"/>
        </w:rPr>
        <w:t xml:space="preserve">- wybrane zagadnienia z zakresu translatoryki (tłumaczenie ustne/pisemne, audiowizualne: ang.-pol./pol.-ang.). </w:t>
      </w:r>
    </w:p>
    <w:p w14:paraId="5D7B5E5B" w14:textId="77777777" w:rsidR="00B608F5" w:rsidRPr="00B608F5" w:rsidRDefault="00B608F5" w:rsidP="00B608F5">
      <w:pPr>
        <w:rPr>
          <w:lang w:val="pl-PL"/>
        </w:rPr>
      </w:pPr>
    </w:p>
    <w:p w14:paraId="60DFC1B1" w14:textId="77777777" w:rsidR="00B608F5" w:rsidRPr="00B608F5" w:rsidRDefault="00B608F5" w:rsidP="00B608F5">
      <w:pPr>
        <w:rPr>
          <w:lang w:val="pl-PL"/>
        </w:rPr>
      </w:pPr>
      <w:r w:rsidRPr="00B608F5">
        <w:rPr>
          <w:b/>
          <w:lang w:val="pl-PL"/>
        </w:rPr>
        <w:t>Cele:</w:t>
      </w:r>
      <w:r w:rsidRPr="00B608F5">
        <w:rPr>
          <w:lang w:val="pl-PL"/>
        </w:rPr>
        <w:t xml:space="preserve"> rozszerzenie wiedzy z zakresu </w:t>
      </w:r>
      <w:proofErr w:type="spellStart"/>
      <w:r w:rsidRPr="00B608F5">
        <w:rPr>
          <w:lang w:val="pl-PL"/>
        </w:rPr>
        <w:t>ludologii</w:t>
      </w:r>
      <w:proofErr w:type="spellEnd"/>
      <w:r w:rsidRPr="00B608F5">
        <w:rPr>
          <w:lang w:val="pl-PL"/>
        </w:rPr>
        <w:t xml:space="preserve">, językoznawstwa, translatoryki i </w:t>
      </w:r>
      <w:proofErr w:type="spellStart"/>
      <w:r w:rsidRPr="00B608F5">
        <w:rPr>
          <w:lang w:val="pl-PL"/>
        </w:rPr>
        <w:t>realioznawstwa</w:t>
      </w:r>
      <w:proofErr w:type="spellEnd"/>
      <w:r w:rsidRPr="00B608F5">
        <w:rPr>
          <w:lang w:val="pl-PL"/>
        </w:rPr>
        <w:t xml:space="preserve"> krajów angielskiego obszaru językowego</w:t>
      </w:r>
    </w:p>
    <w:p w14:paraId="03168E14" w14:textId="77777777" w:rsidR="00B608F5" w:rsidRPr="00B608F5" w:rsidRDefault="00B608F5" w:rsidP="00B608F5">
      <w:pPr>
        <w:rPr>
          <w:lang w:val="pl-PL"/>
        </w:rPr>
      </w:pPr>
      <w:r w:rsidRPr="00B608F5">
        <w:rPr>
          <w:lang w:val="pl-PL"/>
        </w:rPr>
        <w:t>Warunki zaliczenia:</w:t>
      </w:r>
    </w:p>
    <w:p w14:paraId="13554286" w14:textId="77777777" w:rsidR="00B608F5" w:rsidRPr="00B608F5" w:rsidRDefault="00B608F5" w:rsidP="00B608F5">
      <w:pPr>
        <w:rPr>
          <w:lang w:val="pl-PL"/>
        </w:rPr>
      </w:pPr>
      <w:r w:rsidRPr="00B608F5">
        <w:rPr>
          <w:lang w:val="pl-PL"/>
        </w:rPr>
        <w:t xml:space="preserve">- ukończenie pracy dyplomowej do końca roku akademickiego – ocena </w:t>
      </w:r>
      <w:proofErr w:type="spellStart"/>
      <w:r w:rsidRPr="00B608F5">
        <w:rPr>
          <w:lang w:val="pl-PL"/>
        </w:rPr>
        <w:t>bdb</w:t>
      </w:r>
      <w:proofErr w:type="spellEnd"/>
    </w:p>
    <w:p w14:paraId="48E5DD6E" w14:textId="77777777" w:rsidR="00B608F5" w:rsidRPr="00B608F5" w:rsidRDefault="00B608F5" w:rsidP="00B608F5">
      <w:pPr>
        <w:rPr>
          <w:lang w:val="pl-PL"/>
        </w:rPr>
      </w:pPr>
      <w:r w:rsidRPr="00B608F5">
        <w:rPr>
          <w:lang w:val="pl-PL"/>
        </w:rPr>
        <w:t xml:space="preserve">- ukończenie dwóch rozdziałów pracy dyplomowej – ocena </w:t>
      </w:r>
      <w:proofErr w:type="spellStart"/>
      <w:r w:rsidRPr="00B608F5">
        <w:rPr>
          <w:lang w:val="pl-PL"/>
        </w:rPr>
        <w:t>db</w:t>
      </w:r>
      <w:proofErr w:type="spellEnd"/>
      <w:r w:rsidRPr="00B608F5">
        <w:rPr>
          <w:lang w:val="pl-PL"/>
        </w:rPr>
        <w:t>+</w:t>
      </w:r>
    </w:p>
    <w:p w14:paraId="356CB222" w14:textId="77777777" w:rsidR="00B608F5" w:rsidRPr="00B608F5" w:rsidRDefault="00B608F5" w:rsidP="00B608F5">
      <w:pPr>
        <w:rPr>
          <w:lang w:val="pl-PL"/>
        </w:rPr>
      </w:pPr>
      <w:r w:rsidRPr="00B608F5">
        <w:rPr>
          <w:lang w:val="pl-PL"/>
        </w:rPr>
        <w:t xml:space="preserve">- ukończenie jednego rozdziału pracy dyplomowej – ocena </w:t>
      </w:r>
      <w:proofErr w:type="spellStart"/>
      <w:r w:rsidRPr="00B608F5">
        <w:rPr>
          <w:lang w:val="pl-PL"/>
        </w:rPr>
        <w:t>db</w:t>
      </w:r>
      <w:proofErr w:type="spellEnd"/>
    </w:p>
    <w:p w14:paraId="25FA8EC8" w14:textId="77777777" w:rsidR="00B608F5" w:rsidRPr="00B608F5" w:rsidRDefault="00B608F5" w:rsidP="00B608F5">
      <w:pPr>
        <w:rPr>
          <w:lang w:val="pl-PL"/>
        </w:rPr>
      </w:pPr>
      <w:r w:rsidRPr="00B608F5">
        <w:rPr>
          <w:lang w:val="pl-PL"/>
        </w:rPr>
        <w:t xml:space="preserve">- sformułowanie tematu i skonstruowanie planu pracy – ocena </w:t>
      </w:r>
      <w:proofErr w:type="spellStart"/>
      <w:r w:rsidRPr="00B608F5">
        <w:rPr>
          <w:lang w:val="pl-PL"/>
        </w:rPr>
        <w:t>dst</w:t>
      </w:r>
      <w:proofErr w:type="spellEnd"/>
    </w:p>
    <w:p w14:paraId="18444CA0" w14:textId="77777777" w:rsidR="00B608F5" w:rsidRPr="00B608F5" w:rsidRDefault="00B608F5" w:rsidP="00B608F5">
      <w:pPr>
        <w:rPr>
          <w:lang w:val="pl-PL"/>
        </w:rPr>
      </w:pPr>
      <w:r w:rsidRPr="00B608F5">
        <w:rPr>
          <w:lang w:val="pl-PL"/>
        </w:rPr>
        <w:lastRenderedPageBreak/>
        <w:t xml:space="preserve">- brak tematu i planu pracy – ocena </w:t>
      </w:r>
      <w:proofErr w:type="spellStart"/>
      <w:r w:rsidRPr="00B608F5">
        <w:rPr>
          <w:lang w:val="pl-PL"/>
        </w:rPr>
        <w:t>ndst</w:t>
      </w:r>
      <w:proofErr w:type="spellEnd"/>
    </w:p>
    <w:p w14:paraId="0F3C51EC" w14:textId="77777777" w:rsidR="00B608F5" w:rsidRPr="00B608F5" w:rsidRDefault="00B608F5" w:rsidP="00B608F5">
      <w:pPr>
        <w:rPr>
          <w:lang w:val="pl-PL"/>
        </w:rPr>
      </w:pPr>
    </w:p>
    <w:p w14:paraId="181F7C44" w14:textId="77777777" w:rsidR="00B608F5" w:rsidRPr="00B608F5" w:rsidRDefault="00B608F5" w:rsidP="00B608F5">
      <w:pPr>
        <w:ind w:firstLine="0"/>
        <w:rPr>
          <w:b/>
          <w:lang w:val="pl-PL"/>
        </w:rPr>
      </w:pPr>
      <w:r w:rsidRPr="00B608F5">
        <w:rPr>
          <w:b/>
          <w:lang w:val="pl-PL"/>
        </w:rPr>
        <w:t>Literatura:</w:t>
      </w:r>
    </w:p>
    <w:p w14:paraId="0AEEF2A8" w14:textId="77777777" w:rsidR="00B608F5" w:rsidRPr="00B608F5" w:rsidRDefault="00B608F5" w:rsidP="00B608F5">
      <w:pPr>
        <w:pStyle w:val="Akapitzlist"/>
        <w:numPr>
          <w:ilvl w:val="0"/>
          <w:numId w:val="5"/>
        </w:numPr>
        <w:ind w:left="357" w:hanging="357"/>
        <w:rPr>
          <w:lang w:val="pl-PL"/>
        </w:rPr>
      </w:pPr>
      <w:r w:rsidRPr="00B608F5">
        <w:rPr>
          <w:lang w:val="pl-PL"/>
        </w:rPr>
        <w:t>Czasopismo „Homo Ludens”</w:t>
      </w:r>
    </w:p>
    <w:p w14:paraId="0BDFC21E" w14:textId="77777777" w:rsidR="00B608F5" w:rsidRPr="00B608F5" w:rsidRDefault="00B608F5" w:rsidP="00B608F5">
      <w:pPr>
        <w:pStyle w:val="Akapitzlist"/>
        <w:numPr>
          <w:ilvl w:val="0"/>
          <w:numId w:val="5"/>
        </w:numPr>
        <w:autoSpaceDE w:val="0"/>
        <w:autoSpaceDN w:val="0"/>
        <w:adjustRightInd w:val="0"/>
        <w:ind w:left="357" w:hanging="357"/>
        <w:rPr>
          <w:i/>
          <w:iCs/>
          <w:lang w:val="pl-PL" w:eastAsia="pl-PL"/>
        </w:rPr>
      </w:pPr>
      <w:r w:rsidRPr="00B608F5">
        <w:rPr>
          <w:lang w:val="pl-PL" w:eastAsia="pl-PL"/>
        </w:rPr>
        <w:t xml:space="preserve">Aleksandrzak M., Gajewska-Głodek I., Nowicka A., Surdyk A. (2002), </w:t>
      </w:r>
      <w:r w:rsidRPr="00B608F5">
        <w:rPr>
          <w:i/>
          <w:iCs/>
          <w:lang w:val="pl-PL" w:eastAsia="pl-PL"/>
        </w:rPr>
        <w:t>Współpraca dydaktyczna na poziomie zaawansowanym: cele, zasady i formy</w:t>
      </w:r>
      <w:r w:rsidRPr="00B608F5">
        <w:rPr>
          <w:lang w:val="pl-PL" w:eastAsia="pl-PL"/>
        </w:rPr>
        <w:t>,</w:t>
      </w:r>
      <w:r w:rsidRPr="00B608F5">
        <w:rPr>
          <w:i/>
          <w:iCs/>
          <w:lang w:val="pl-PL" w:eastAsia="pl-PL"/>
        </w:rPr>
        <w:t xml:space="preserve"> </w:t>
      </w:r>
      <w:r w:rsidRPr="00B608F5">
        <w:rPr>
          <w:lang w:val="pl-PL" w:eastAsia="pl-PL"/>
        </w:rPr>
        <w:t>(w:) Wilczyńska, W. (red.), Autonomizacja w dydaktyce języków obcych.</w:t>
      </w:r>
    </w:p>
    <w:p w14:paraId="2226BD63" w14:textId="77777777" w:rsidR="00B608F5" w:rsidRPr="00B608F5" w:rsidRDefault="00B608F5" w:rsidP="00B608F5">
      <w:pPr>
        <w:pStyle w:val="Akapitzlist"/>
        <w:numPr>
          <w:ilvl w:val="0"/>
          <w:numId w:val="5"/>
        </w:numPr>
        <w:autoSpaceDE w:val="0"/>
        <w:autoSpaceDN w:val="0"/>
        <w:adjustRightInd w:val="0"/>
        <w:ind w:left="357" w:hanging="357"/>
        <w:rPr>
          <w:lang w:val="pl-PL" w:eastAsia="pl-PL"/>
        </w:rPr>
      </w:pPr>
      <w:r w:rsidRPr="00B608F5">
        <w:rPr>
          <w:lang w:val="pl-PL" w:eastAsia="pl-PL"/>
        </w:rPr>
        <w:t>Doskonalenie się w komunikacji ustnej. Poznań: Wydawnictwo Naukowe UAM, s. 85–107.</w:t>
      </w:r>
    </w:p>
    <w:p w14:paraId="433C3331" w14:textId="77777777" w:rsidR="00B608F5" w:rsidRPr="00B608F5" w:rsidRDefault="00B608F5" w:rsidP="00B608F5">
      <w:pPr>
        <w:pStyle w:val="Akapitzlist"/>
        <w:numPr>
          <w:ilvl w:val="0"/>
          <w:numId w:val="5"/>
        </w:numPr>
        <w:autoSpaceDE w:val="0"/>
        <w:autoSpaceDN w:val="0"/>
        <w:adjustRightInd w:val="0"/>
        <w:ind w:left="357" w:hanging="357"/>
        <w:rPr>
          <w:lang w:val="pl-PL" w:eastAsia="pl-PL"/>
        </w:rPr>
      </w:pPr>
      <w:r w:rsidRPr="00B608F5">
        <w:rPr>
          <w:lang w:val="pl-PL" w:eastAsia="pl-PL"/>
        </w:rPr>
        <w:t>Pfeiffer W. (2001),</w:t>
      </w:r>
      <w:r w:rsidRPr="00B608F5">
        <w:rPr>
          <w:i/>
          <w:iCs/>
          <w:lang w:val="pl-PL" w:eastAsia="pl-PL"/>
        </w:rPr>
        <w:t>Nauka języków obcych. Od praktyki do praktyki</w:t>
      </w:r>
      <w:r w:rsidRPr="00B608F5">
        <w:rPr>
          <w:lang w:val="pl-PL" w:eastAsia="pl-PL"/>
        </w:rPr>
        <w:t xml:space="preserve">. Poznań: </w:t>
      </w:r>
      <w:proofErr w:type="spellStart"/>
      <w:r w:rsidRPr="00B608F5">
        <w:rPr>
          <w:lang w:val="pl-PL" w:eastAsia="pl-PL"/>
        </w:rPr>
        <w:t>Wagros</w:t>
      </w:r>
      <w:proofErr w:type="spellEnd"/>
      <w:r w:rsidRPr="00B608F5">
        <w:rPr>
          <w:lang w:val="pl-PL" w:eastAsia="pl-PL"/>
        </w:rPr>
        <w:t>.</w:t>
      </w:r>
    </w:p>
    <w:p w14:paraId="7784A96D" w14:textId="77777777" w:rsidR="00B608F5" w:rsidRPr="00B608F5" w:rsidRDefault="00B608F5" w:rsidP="00B608F5">
      <w:pPr>
        <w:pStyle w:val="Akapitzlist"/>
        <w:numPr>
          <w:ilvl w:val="0"/>
          <w:numId w:val="5"/>
        </w:numPr>
        <w:autoSpaceDE w:val="0"/>
        <w:autoSpaceDN w:val="0"/>
        <w:adjustRightInd w:val="0"/>
        <w:ind w:left="357" w:hanging="357"/>
        <w:rPr>
          <w:lang w:val="pl-PL" w:eastAsia="pl-PL"/>
        </w:rPr>
      </w:pPr>
      <w:proofErr w:type="spellStart"/>
      <w:r w:rsidRPr="00B608F5">
        <w:rPr>
          <w:lang w:val="pl-PL" w:eastAsia="pl-PL"/>
        </w:rPr>
        <w:t>Siek-Piskozub</w:t>
      </w:r>
      <w:proofErr w:type="spellEnd"/>
      <w:r w:rsidRPr="00B608F5">
        <w:rPr>
          <w:lang w:val="pl-PL" w:eastAsia="pl-PL"/>
        </w:rPr>
        <w:t xml:space="preserve"> T. (1995), </w:t>
      </w:r>
      <w:r w:rsidRPr="00B608F5">
        <w:rPr>
          <w:i/>
          <w:iCs/>
          <w:lang w:val="pl-PL" w:eastAsia="pl-PL"/>
        </w:rPr>
        <w:t>Gry, zabawy i symulacje w procesie glottodydaktycznym</w:t>
      </w:r>
      <w:r w:rsidRPr="00B608F5">
        <w:rPr>
          <w:lang w:val="pl-PL" w:eastAsia="pl-PL"/>
        </w:rPr>
        <w:t>. Poznań: Wydawnictwo Naukowe UAM.</w:t>
      </w:r>
    </w:p>
    <w:p w14:paraId="3764B781" w14:textId="77777777" w:rsidR="00B608F5" w:rsidRPr="00B608F5" w:rsidRDefault="00B608F5" w:rsidP="00B608F5">
      <w:pPr>
        <w:pStyle w:val="Akapitzlist"/>
        <w:numPr>
          <w:ilvl w:val="0"/>
          <w:numId w:val="5"/>
        </w:numPr>
        <w:autoSpaceDE w:val="0"/>
        <w:autoSpaceDN w:val="0"/>
        <w:adjustRightInd w:val="0"/>
        <w:ind w:left="357" w:hanging="357"/>
        <w:rPr>
          <w:i/>
          <w:iCs/>
          <w:lang w:val="pl-PL" w:eastAsia="pl-PL"/>
        </w:rPr>
      </w:pPr>
      <w:proofErr w:type="spellStart"/>
      <w:r w:rsidRPr="00B608F5">
        <w:rPr>
          <w:lang w:val="pl-PL" w:eastAsia="pl-PL"/>
        </w:rPr>
        <w:t>Siek-Piskozub</w:t>
      </w:r>
      <w:proofErr w:type="spellEnd"/>
      <w:r w:rsidRPr="00B608F5">
        <w:rPr>
          <w:lang w:val="pl-PL" w:eastAsia="pl-PL"/>
        </w:rPr>
        <w:t xml:space="preserve"> T. (2001), </w:t>
      </w:r>
      <w:r w:rsidRPr="00B608F5">
        <w:rPr>
          <w:i/>
          <w:iCs/>
          <w:lang w:val="pl-PL" w:eastAsia="pl-PL"/>
        </w:rPr>
        <w:t>Uczyć się bawiąc. Strategia ludyczna na lekcji języka obcego</w:t>
      </w:r>
      <w:r w:rsidRPr="00B608F5">
        <w:rPr>
          <w:lang w:val="pl-PL" w:eastAsia="pl-PL"/>
        </w:rPr>
        <w:t>. Warszawa: Wydawnictwo Naukowe PWN.</w:t>
      </w:r>
    </w:p>
    <w:p w14:paraId="2DE0A1E9" w14:textId="77777777" w:rsidR="00B608F5" w:rsidRPr="00B608F5" w:rsidRDefault="00B608F5" w:rsidP="00B608F5">
      <w:pPr>
        <w:pStyle w:val="Akapitzlist"/>
        <w:numPr>
          <w:ilvl w:val="0"/>
          <w:numId w:val="5"/>
        </w:numPr>
        <w:autoSpaceDE w:val="0"/>
        <w:autoSpaceDN w:val="0"/>
        <w:adjustRightInd w:val="0"/>
        <w:ind w:left="357" w:hanging="357"/>
        <w:rPr>
          <w:i/>
          <w:iCs/>
          <w:lang w:val="pl-PL" w:eastAsia="pl-PL"/>
        </w:rPr>
      </w:pPr>
      <w:r w:rsidRPr="00B608F5">
        <w:rPr>
          <w:lang w:val="pl-PL" w:eastAsia="pl-PL"/>
        </w:rPr>
        <w:t xml:space="preserve">Wilczyńska W. (red.), (2002), </w:t>
      </w:r>
      <w:r w:rsidRPr="00B608F5">
        <w:rPr>
          <w:i/>
          <w:iCs/>
          <w:lang w:val="pl-PL" w:eastAsia="pl-PL"/>
        </w:rPr>
        <w:t xml:space="preserve">Autonomizacja w dydaktyce języków obcych. Doskonalenie się w komunikacji ustnej. </w:t>
      </w:r>
      <w:r w:rsidRPr="00B608F5">
        <w:rPr>
          <w:lang w:val="pl-PL" w:eastAsia="pl-PL"/>
        </w:rPr>
        <w:t>Poznań: Wydawnictwo Naukowe</w:t>
      </w:r>
      <w:r w:rsidRPr="00B608F5">
        <w:rPr>
          <w:i/>
          <w:iCs/>
          <w:lang w:val="pl-PL" w:eastAsia="pl-PL"/>
        </w:rPr>
        <w:t xml:space="preserve"> </w:t>
      </w:r>
      <w:r w:rsidRPr="00B608F5">
        <w:rPr>
          <w:lang w:val="pl-PL" w:eastAsia="pl-PL"/>
        </w:rPr>
        <w:t>UAM.</w:t>
      </w:r>
    </w:p>
    <w:p w14:paraId="1DB03D84" w14:textId="77777777" w:rsidR="00B608F5" w:rsidRPr="00B608F5" w:rsidRDefault="00B608F5" w:rsidP="00B608F5">
      <w:pPr>
        <w:pStyle w:val="Akapitzlist"/>
        <w:numPr>
          <w:ilvl w:val="0"/>
          <w:numId w:val="5"/>
        </w:numPr>
        <w:autoSpaceDE w:val="0"/>
        <w:autoSpaceDN w:val="0"/>
        <w:adjustRightInd w:val="0"/>
        <w:ind w:left="357" w:hanging="357"/>
        <w:rPr>
          <w:i/>
          <w:iCs/>
          <w:lang w:val="pl-PL" w:eastAsia="pl-PL"/>
        </w:rPr>
      </w:pPr>
      <w:r w:rsidRPr="00B608F5">
        <w:rPr>
          <w:lang w:val="pl-PL" w:eastAsia="pl-PL"/>
        </w:rPr>
        <w:t xml:space="preserve">Wilczyńska W., Michońska-Stadnik A. (2010), </w:t>
      </w:r>
      <w:r w:rsidRPr="00B608F5">
        <w:rPr>
          <w:i/>
          <w:iCs/>
          <w:lang w:val="pl-PL" w:eastAsia="pl-PL"/>
        </w:rPr>
        <w:t>Metodologia badań w glottodydaktyce. Wprowadzenie</w:t>
      </w:r>
      <w:r w:rsidRPr="00B608F5">
        <w:rPr>
          <w:lang w:val="pl-PL" w:eastAsia="pl-PL"/>
        </w:rPr>
        <w:t>. Kraków: Avalon.</w:t>
      </w:r>
    </w:p>
    <w:p w14:paraId="0D34AA94" w14:textId="763E401C" w:rsidR="00B608F5" w:rsidRDefault="00B608F5" w:rsidP="00D577C9">
      <w:pPr>
        <w:pStyle w:val="Default"/>
        <w:spacing w:line="360" w:lineRule="auto"/>
      </w:pPr>
    </w:p>
    <w:p w14:paraId="4D2E7346" w14:textId="0A091D13" w:rsidR="00444FC4" w:rsidRDefault="00444FC4" w:rsidP="00D577C9">
      <w:pPr>
        <w:pStyle w:val="Default"/>
        <w:spacing w:line="360" w:lineRule="auto"/>
      </w:pPr>
    </w:p>
    <w:p w14:paraId="7C6AA3CC" w14:textId="77777777" w:rsidR="00444FC4" w:rsidRPr="00444FC4" w:rsidRDefault="00444FC4" w:rsidP="00444FC4">
      <w:pPr>
        <w:rPr>
          <w:b/>
          <w:bCs/>
          <w:lang w:val="pl-PL"/>
        </w:rPr>
      </w:pPr>
      <w:r w:rsidRPr="00444FC4">
        <w:rPr>
          <w:b/>
          <w:bCs/>
          <w:lang w:val="pl-PL"/>
        </w:rPr>
        <w:t>Analiza konwersacyjna</w:t>
      </w:r>
    </w:p>
    <w:p w14:paraId="221AB7B5" w14:textId="77777777" w:rsidR="00444FC4" w:rsidRPr="00444FC4" w:rsidRDefault="00444FC4" w:rsidP="00444FC4">
      <w:pPr>
        <w:rPr>
          <w:b/>
          <w:bCs/>
          <w:lang w:val="pl-PL"/>
        </w:rPr>
      </w:pPr>
      <w:proofErr w:type="spellStart"/>
      <w:r w:rsidRPr="00444FC4">
        <w:rPr>
          <w:b/>
          <w:bCs/>
          <w:lang w:val="pl-PL"/>
        </w:rPr>
        <w:t>Conversation</w:t>
      </w:r>
      <w:proofErr w:type="spellEnd"/>
      <w:r w:rsidRPr="00444FC4">
        <w:rPr>
          <w:b/>
          <w:bCs/>
          <w:lang w:val="pl-PL"/>
        </w:rPr>
        <w:t xml:space="preserve"> </w:t>
      </w:r>
      <w:proofErr w:type="spellStart"/>
      <w:r w:rsidRPr="00444FC4">
        <w:rPr>
          <w:b/>
          <w:bCs/>
          <w:lang w:val="pl-PL"/>
        </w:rPr>
        <w:t>analysis</w:t>
      </w:r>
      <w:proofErr w:type="spellEnd"/>
    </w:p>
    <w:p w14:paraId="7606521F" w14:textId="77777777" w:rsidR="00444FC4" w:rsidRPr="00444FC4" w:rsidRDefault="00444FC4" w:rsidP="00444FC4">
      <w:pPr>
        <w:rPr>
          <w:lang w:val="pl-PL"/>
        </w:rPr>
      </w:pPr>
      <w:r w:rsidRPr="00444FC4">
        <w:rPr>
          <w:lang w:val="pl-PL"/>
        </w:rPr>
        <w:t>Prowadzący :</w:t>
      </w:r>
    </w:p>
    <w:p w14:paraId="6B897861" w14:textId="77777777" w:rsidR="00444FC4" w:rsidRPr="00444FC4" w:rsidRDefault="00444FC4" w:rsidP="00444FC4">
      <w:pPr>
        <w:rPr>
          <w:lang w:val="pl-PL"/>
        </w:rPr>
      </w:pPr>
      <w:r w:rsidRPr="00444FC4">
        <w:rPr>
          <w:lang w:val="pl-PL"/>
        </w:rPr>
        <w:t>Agnieszka Nowicka</w:t>
      </w:r>
    </w:p>
    <w:p w14:paraId="13DC0AAA" w14:textId="77777777" w:rsidR="00444FC4" w:rsidRPr="00444FC4" w:rsidRDefault="00444FC4" w:rsidP="00444FC4">
      <w:pPr>
        <w:rPr>
          <w:lang w:val="pl-PL"/>
        </w:rPr>
      </w:pPr>
      <w:r w:rsidRPr="00444FC4">
        <w:rPr>
          <w:lang w:val="pl-PL"/>
        </w:rPr>
        <w:t>Opis:  Problematyka seminarium dotyczy analizy interakcji w j. angielskim ze szczególnym uwzględnieniem interakcji medialnych. Omówiona zostanie metodologia analizy konwersacyjnej. Program seminarium obejmuje techniki zbierania, transkrybowania i interpretacji danych. Prace dyplomowe będą mieć charakter teoretyczno-badawczy koncentrujący się na samodzielnie zebranych i opracowanych danych.</w:t>
      </w:r>
    </w:p>
    <w:p w14:paraId="7B91E51C" w14:textId="77777777" w:rsidR="00444FC4" w:rsidRPr="00444FC4" w:rsidRDefault="00444FC4" w:rsidP="00444FC4">
      <w:pPr>
        <w:rPr>
          <w:lang w:val="pl-PL"/>
        </w:rPr>
      </w:pPr>
    </w:p>
    <w:p w14:paraId="270F5CB5" w14:textId="77777777" w:rsidR="00444FC4" w:rsidRPr="006D0DC8" w:rsidRDefault="00444FC4" w:rsidP="00444FC4">
      <w:pPr>
        <w:pStyle w:val="Akapitzlist"/>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00" w:line="276" w:lineRule="auto"/>
        <w:jc w:val="left"/>
        <w:rPr>
          <w:rFonts w:ascii="Arial" w:hAnsi="Arial" w:cs="Arial"/>
          <w:noProof/>
          <w:sz w:val="20"/>
          <w:szCs w:val="20"/>
        </w:rPr>
      </w:pPr>
      <w:r w:rsidRPr="006D0DC8">
        <w:rPr>
          <w:rFonts w:ascii="Arial" w:hAnsi="Arial" w:cs="Arial"/>
          <w:noProof/>
          <w:sz w:val="20"/>
          <w:szCs w:val="20"/>
        </w:rPr>
        <w:t xml:space="preserve">Hutchby I. &amp;  R. Wooffitt  1998. </w:t>
      </w:r>
      <w:r w:rsidRPr="006D0DC8">
        <w:rPr>
          <w:rFonts w:ascii="Arial" w:hAnsi="Arial" w:cs="Arial"/>
          <w:i/>
          <w:iCs/>
          <w:noProof/>
          <w:sz w:val="20"/>
          <w:szCs w:val="20"/>
        </w:rPr>
        <w:t xml:space="preserve">Conversation Analysis. </w:t>
      </w:r>
      <w:r w:rsidRPr="006D0DC8">
        <w:rPr>
          <w:rFonts w:ascii="Arial" w:hAnsi="Arial" w:cs="Arial"/>
          <w:noProof/>
          <w:sz w:val="20"/>
          <w:szCs w:val="20"/>
        </w:rPr>
        <w:t>Oxford: Polity Press.</w:t>
      </w:r>
    </w:p>
    <w:p w14:paraId="13645736" w14:textId="77777777" w:rsidR="00444FC4" w:rsidRDefault="00444FC4" w:rsidP="00444FC4">
      <w:pPr>
        <w:pStyle w:val="Akapitzlist"/>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00" w:line="276" w:lineRule="auto"/>
        <w:jc w:val="left"/>
        <w:rPr>
          <w:rFonts w:ascii="Arial" w:hAnsi="Arial" w:cs="Arial"/>
          <w:noProof/>
          <w:sz w:val="20"/>
          <w:szCs w:val="20"/>
        </w:rPr>
      </w:pPr>
      <w:r w:rsidRPr="006D0DC8">
        <w:rPr>
          <w:rFonts w:ascii="Arial" w:hAnsi="Arial" w:cs="Arial"/>
          <w:noProof/>
          <w:sz w:val="20"/>
          <w:szCs w:val="20"/>
        </w:rPr>
        <w:t xml:space="preserve">Silverman D. 1998. </w:t>
      </w:r>
      <w:r w:rsidRPr="006D0DC8">
        <w:rPr>
          <w:rFonts w:ascii="Arial" w:hAnsi="Arial" w:cs="Arial"/>
          <w:i/>
          <w:iCs/>
          <w:noProof/>
          <w:sz w:val="20"/>
          <w:szCs w:val="20"/>
        </w:rPr>
        <w:t>Harvey Sacks. Social Science and Conversation Analysis.</w:t>
      </w:r>
      <w:r w:rsidRPr="006D0DC8">
        <w:rPr>
          <w:rFonts w:ascii="Arial" w:hAnsi="Arial" w:cs="Arial"/>
          <w:noProof/>
          <w:sz w:val="20"/>
          <w:szCs w:val="20"/>
        </w:rPr>
        <w:t xml:space="preserve"> Cambridge: Polity Press.</w:t>
      </w:r>
    </w:p>
    <w:p w14:paraId="0B7262BA" w14:textId="77777777" w:rsidR="00444FC4" w:rsidRPr="006D0DC8" w:rsidRDefault="00444FC4" w:rsidP="00444FC4">
      <w:pPr>
        <w:pStyle w:val="Akapitzlist"/>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00" w:line="276" w:lineRule="auto"/>
        <w:jc w:val="left"/>
        <w:rPr>
          <w:rFonts w:ascii="Arial" w:hAnsi="Arial" w:cs="Arial"/>
          <w:noProof/>
          <w:sz w:val="20"/>
          <w:szCs w:val="20"/>
        </w:rPr>
      </w:pPr>
      <w:r>
        <w:rPr>
          <w:rFonts w:ascii="Arial" w:hAnsi="Arial" w:cs="Arial"/>
          <w:noProof/>
          <w:sz w:val="20"/>
          <w:szCs w:val="20"/>
        </w:rPr>
        <w:t xml:space="preserve">Sidnell J. I T. Stivers. 2013. </w:t>
      </w:r>
      <w:r>
        <w:rPr>
          <w:rFonts w:ascii="Arial" w:hAnsi="Arial" w:cs="Arial"/>
          <w:i/>
          <w:noProof/>
          <w:sz w:val="20"/>
          <w:szCs w:val="20"/>
        </w:rPr>
        <w:t>The Handbook of Conversation Analysis.</w:t>
      </w:r>
      <w:r>
        <w:rPr>
          <w:rFonts w:ascii="Arial" w:hAnsi="Arial" w:cs="Arial"/>
          <w:noProof/>
          <w:sz w:val="20"/>
          <w:szCs w:val="20"/>
        </w:rPr>
        <w:t xml:space="preserve"> Malden, MA/Oxford/Chichester: Blacwell Publishing.</w:t>
      </w:r>
    </w:p>
    <w:p w14:paraId="1AAD10CF" w14:textId="4524D49E" w:rsidR="00444FC4" w:rsidRPr="00444FC4" w:rsidRDefault="00444FC4" w:rsidP="00444FC4">
      <w:pPr>
        <w:pStyle w:val="Akapitzlist"/>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00" w:line="276" w:lineRule="auto"/>
        <w:jc w:val="left"/>
        <w:rPr>
          <w:rFonts w:ascii="Arial" w:hAnsi="Arial" w:cs="Arial"/>
          <w:noProof/>
          <w:sz w:val="20"/>
          <w:szCs w:val="20"/>
        </w:rPr>
      </w:pPr>
      <w:r w:rsidRPr="005A2A70">
        <w:rPr>
          <w:rFonts w:ascii="Arial" w:hAnsi="Arial" w:cs="Arial"/>
          <w:noProof/>
          <w:sz w:val="20"/>
          <w:szCs w:val="20"/>
        </w:rPr>
        <w:t xml:space="preserve">Ten Have P. 1999. </w:t>
      </w:r>
      <w:r w:rsidRPr="006D0DC8">
        <w:rPr>
          <w:rFonts w:ascii="Arial" w:hAnsi="Arial" w:cs="Arial"/>
          <w:i/>
          <w:iCs/>
          <w:noProof/>
          <w:sz w:val="20"/>
          <w:szCs w:val="20"/>
        </w:rPr>
        <w:t xml:space="preserve">Doing Conversation Analysis. </w:t>
      </w:r>
      <w:r w:rsidRPr="006D0DC8">
        <w:rPr>
          <w:rFonts w:ascii="Arial" w:hAnsi="Arial" w:cs="Arial"/>
          <w:noProof/>
          <w:sz w:val="20"/>
          <w:szCs w:val="20"/>
        </w:rPr>
        <w:t>London: Sage Publications Ltd.</w:t>
      </w:r>
      <w:bookmarkStart w:id="0" w:name="_GoBack"/>
      <w:bookmarkEnd w:id="0"/>
    </w:p>
    <w:sectPr w:rsidR="00444FC4" w:rsidRPr="00444FC4" w:rsidSect="00723E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FBDA0" w14:textId="77777777" w:rsidR="00DF1814" w:rsidRDefault="00DF1814" w:rsidP="009D4737">
      <w:pPr>
        <w:spacing w:line="240" w:lineRule="auto"/>
      </w:pPr>
      <w:r>
        <w:separator/>
      </w:r>
    </w:p>
  </w:endnote>
  <w:endnote w:type="continuationSeparator" w:id="0">
    <w:p w14:paraId="1A6F0EDF" w14:textId="77777777" w:rsidR="00DF1814" w:rsidRDefault="00DF1814" w:rsidP="009D4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498C6" w14:textId="77777777" w:rsidR="00DF1814" w:rsidRDefault="00DF1814" w:rsidP="009D4737">
      <w:pPr>
        <w:spacing w:line="240" w:lineRule="auto"/>
      </w:pPr>
      <w:r>
        <w:separator/>
      </w:r>
    </w:p>
  </w:footnote>
  <w:footnote w:type="continuationSeparator" w:id="0">
    <w:p w14:paraId="2421B1AF" w14:textId="77777777" w:rsidR="00DF1814" w:rsidRDefault="00DF1814" w:rsidP="009D47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09F0"/>
    <w:multiLevelType w:val="hybridMultilevel"/>
    <w:tmpl w:val="F8B6EA0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1746027C"/>
    <w:multiLevelType w:val="hybridMultilevel"/>
    <w:tmpl w:val="2DF207DC"/>
    <w:lvl w:ilvl="0" w:tplc="FB545112">
      <w:start w:val="1"/>
      <w:numFmt w:val="bullet"/>
      <w:pStyle w:val="listawypunktowana"/>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26A53450"/>
    <w:multiLevelType w:val="hybridMultilevel"/>
    <w:tmpl w:val="5D1C937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2B2A1E95"/>
    <w:multiLevelType w:val="hybridMultilevel"/>
    <w:tmpl w:val="EC786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0402B5"/>
    <w:multiLevelType w:val="hybridMultilevel"/>
    <w:tmpl w:val="66540DB8"/>
    <w:lvl w:ilvl="0" w:tplc="49E66D30">
      <w:start w:val="3"/>
      <w:numFmt w:val="decimal"/>
      <w:pStyle w:val="numerowanie"/>
      <w:lvlText w:val="%1."/>
      <w:lvlJc w:val="left"/>
      <w:pPr>
        <w:ind w:left="927"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C710278"/>
    <w:multiLevelType w:val="hybridMultilevel"/>
    <w:tmpl w:val="E5C65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9F306E"/>
    <w:multiLevelType w:val="multilevel"/>
    <w:tmpl w:val="5A0E51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1BB6ABF"/>
    <w:multiLevelType w:val="hybridMultilevel"/>
    <w:tmpl w:val="E9EC86A8"/>
    <w:lvl w:ilvl="0" w:tplc="9F283E14">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972624"/>
    <w:multiLevelType w:val="hybridMultilevel"/>
    <w:tmpl w:val="EABCD0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5"/>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37"/>
    <w:rsid w:val="000F75DD"/>
    <w:rsid w:val="00110631"/>
    <w:rsid w:val="001724E6"/>
    <w:rsid w:val="00206DDA"/>
    <w:rsid w:val="00364F16"/>
    <w:rsid w:val="003E0A7E"/>
    <w:rsid w:val="00422EBE"/>
    <w:rsid w:val="00444FC4"/>
    <w:rsid w:val="0052444F"/>
    <w:rsid w:val="0054144A"/>
    <w:rsid w:val="005507F3"/>
    <w:rsid w:val="005670D5"/>
    <w:rsid w:val="005D0245"/>
    <w:rsid w:val="00674815"/>
    <w:rsid w:val="006C776E"/>
    <w:rsid w:val="00723E10"/>
    <w:rsid w:val="00900735"/>
    <w:rsid w:val="009D0FE2"/>
    <w:rsid w:val="009D4737"/>
    <w:rsid w:val="009D532F"/>
    <w:rsid w:val="00A02D07"/>
    <w:rsid w:val="00A96C67"/>
    <w:rsid w:val="00B4251C"/>
    <w:rsid w:val="00B56E12"/>
    <w:rsid w:val="00B608F5"/>
    <w:rsid w:val="00C04270"/>
    <w:rsid w:val="00C80397"/>
    <w:rsid w:val="00CF1D7F"/>
    <w:rsid w:val="00D577C9"/>
    <w:rsid w:val="00DC1A4A"/>
    <w:rsid w:val="00DD57BD"/>
    <w:rsid w:val="00DF1814"/>
    <w:rsid w:val="00EB795F"/>
    <w:rsid w:val="00ED05A7"/>
    <w:rsid w:val="00ED32BE"/>
    <w:rsid w:val="00FC2C95"/>
    <w:rsid w:val="00FE5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7EBE"/>
  <w15:docId w15:val="{DDA7EB31-3386-4264-9971-D54EE23D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5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pPr>
    <w:rPr>
      <w:rFonts w:ascii="Times New Roman" w:hAnsi="Times New Roman"/>
      <w:sz w:val="24"/>
      <w:szCs w:val="24"/>
      <w:lang w:val="en-US"/>
    </w:rPr>
  </w:style>
  <w:style w:type="paragraph" w:styleId="Nagwek1">
    <w:name w:val="heading 1"/>
    <w:basedOn w:val="Normalny"/>
    <w:next w:val="Normalny"/>
    <w:link w:val="Nagwek1Znak"/>
    <w:uiPriority w:val="9"/>
    <w:qFormat/>
    <w:rsid w:val="009D532F"/>
    <w:pPr>
      <w:keepNext/>
      <w:keepLines/>
      <w:spacing w:after="480"/>
      <w:ind w:firstLine="0"/>
      <w:jc w:val="center"/>
      <w:outlineLvl w:val="0"/>
    </w:pPr>
    <w:rPr>
      <w:rFonts w:eastAsiaTheme="majorEastAsia" w:cstheme="majorBidi"/>
      <w:b/>
      <w:bCs/>
      <w:sz w:val="32"/>
      <w:szCs w:val="28"/>
    </w:rPr>
  </w:style>
  <w:style w:type="paragraph" w:styleId="Nagwek2">
    <w:name w:val="heading 2"/>
    <w:basedOn w:val="Normalny"/>
    <w:next w:val="Normalny"/>
    <w:link w:val="Nagwek2Znak"/>
    <w:uiPriority w:val="99"/>
    <w:qFormat/>
    <w:rsid w:val="009D532F"/>
    <w:pPr>
      <w:keepNext/>
      <w:keepLines/>
      <w:spacing w:before="120" w:after="120"/>
      <w:ind w:firstLine="0"/>
      <w:outlineLvl w:val="1"/>
    </w:pPr>
    <w:rPr>
      <w:rFonts w:eastAsia="Times New Roman" w:cs="Times New Roman"/>
      <w:b/>
      <w:bCs/>
      <w:sz w:val="28"/>
      <w:szCs w:val="28"/>
      <w:lang w:eastAsia="cs-CZ"/>
    </w:rPr>
  </w:style>
  <w:style w:type="paragraph" w:styleId="Nagwek3">
    <w:name w:val="heading 3"/>
    <w:basedOn w:val="Normalny"/>
    <w:next w:val="Normalny"/>
    <w:link w:val="Nagwek3Znak"/>
    <w:uiPriority w:val="9"/>
    <w:unhideWhenUsed/>
    <w:qFormat/>
    <w:rsid w:val="009D532F"/>
    <w:pPr>
      <w:keepNext/>
      <w:keepLines/>
      <w:outlineLvl w:val="2"/>
    </w:pPr>
    <w:rPr>
      <w:rFonts w:eastAsiaTheme="majorEastAsia" w:cstheme="majorBidi"/>
      <w:b/>
      <w:bCs/>
      <w:szCs w:val="22"/>
    </w:rPr>
  </w:style>
  <w:style w:type="paragraph" w:styleId="Nagwek4">
    <w:name w:val="heading 4"/>
    <w:basedOn w:val="Normalny"/>
    <w:next w:val="Normalny"/>
    <w:link w:val="Nagwek4Znak"/>
    <w:uiPriority w:val="9"/>
    <w:unhideWhenUsed/>
    <w:qFormat/>
    <w:rsid w:val="009D532F"/>
    <w:pPr>
      <w:keepNext/>
      <w:keepLines/>
      <w:spacing w:before="200"/>
      <w:outlineLvl w:val="3"/>
    </w:pPr>
    <w:rPr>
      <w:rFonts w:asciiTheme="majorHAnsi" w:eastAsiaTheme="majorEastAsia" w:hAnsiTheme="majorHAnsi" w:cstheme="majorBidi"/>
      <w:b/>
      <w:bCs/>
      <w:i/>
      <w:iCs/>
      <w:color w:val="4F81BD" w:themeColor="accent1"/>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532F"/>
    <w:rPr>
      <w:rFonts w:ascii="Times New Roman" w:eastAsiaTheme="majorEastAsia" w:hAnsi="Times New Roman" w:cstheme="majorBidi"/>
      <w:b/>
      <w:bCs/>
      <w:sz w:val="32"/>
      <w:szCs w:val="28"/>
      <w:lang w:val="en-US"/>
    </w:rPr>
  </w:style>
  <w:style w:type="character" w:customStyle="1" w:styleId="Nagwek2Znak">
    <w:name w:val="Nagłówek 2 Znak"/>
    <w:basedOn w:val="Domylnaczcionkaakapitu"/>
    <w:link w:val="Nagwek2"/>
    <w:uiPriority w:val="99"/>
    <w:rsid w:val="009D532F"/>
    <w:rPr>
      <w:rFonts w:ascii="Times New Roman" w:eastAsia="Times New Roman" w:hAnsi="Times New Roman" w:cs="Times New Roman"/>
      <w:b/>
      <w:bCs/>
      <w:sz w:val="28"/>
      <w:szCs w:val="28"/>
      <w:lang w:val="en-US" w:eastAsia="cs-CZ"/>
    </w:rPr>
  </w:style>
  <w:style w:type="character" w:customStyle="1" w:styleId="Nagwek3Znak">
    <w:name w:val="Nagłówek 3 Znak"/>
    <w:basedOn w:val="Domylnaczcionkaakapitu"/>
    <w:link w:val="Nagwek3"/>
    <w:uiPriority w:val="9"/>
    <w:rsid w:val="009D532F"/>
    <w:rPr>
      <w:rFonts w:ascii="Times New Roman" w:eastAsiaTheme="majorEastAsia" w:hAnsi="Times New Roman" w:cstheme="majorBidi"/>
      <w:b/>
      <w:bCs/>
      <w:sz w:val="24"/>
      <w:lang w:val="en-US"/>
    </w:rPr>
  </w:style>
  <w:style w:type="character" w:customStyle="1" w:styleId="Nagwek4Znak">
    <w:name w:val="Nagłówek 4 Znak"/>
    <w:basedOn w:val="Domylnaczcionkaakapitu"/>
    <w:link w:val="Nagwek4"/>
    <w:uiPriority w:val="9"/>
    <w:rsid w:val="009D532F"/>
    <w:rPr>
      <w:rFonts w:asciiTheme="majorHAnsi" w:eastAsiaTheme="majorEastAsia" w:hAnsiTheme="majorHAnsi" w:cstheme="majorBidi"/>
      <w:b/>
      <w:bCs/>
      <w:i/>
      <w:iCs/>
      <w:color w:val="4F81BD" w:themeColor="accent1"/>
      <w:sz w:val="24"/>
      <w:lang w:val="en-US"/>
    </w:rPr>
  </w:style>
  <w:style w:type="paragraph" w:styleId="Spistreci1">
    <w:name w:val="toc 1"/>
    <w:basedOn w:val="Normalny"/>
    <w:next w:val="Normalny"/>
    <w:autoRedefine/>
    <w:uiPriority w:val="39"/>
    <w:unhideWhenUsed/>
    <w:qFormat/>
    <w:rsid w:val="009D532F"/>
    <w:pPr>
      <w:tabs>
        <w:tab w:val="right" w:leader="dot" w:pos="9019"/>
      </w:tabs>
      <w:spacing w:before="120"/>
      <w:ind w:firstLine="0"/>
    </w:pPr>
    <w:rPr>
      <w:rFonts w:cs="Times New Roman"/>
      <w:b/>
      <w:bCs/>
      <w:caps/>
      <w:u w:val="single"/>
    </w:rPr>
  </w:style>
  <w:style w:type="paragraph" w:styleId="Spistreci2">
    <w:name w:val="toc 2"/>
    <w:basedOn w:val="Normalny"/>
    <w:next w:val="Normalny"/>
    <w:autoRedefine/>
    <w:uiPriority w:val="39"/>
    <w:unhideWhenUsed/>
    <w:qFormat/>
    <w:rsid w:val="009D532F"/>
    <w:pPr>
      <w:tabs>
        <w:tab w:val="right" w:leader="dot" w:pos="9019"/>
      </w:tabs>
      <w:spacing w:line="240" w:lineRule="auto"/>
      <w:ind w:firstLine="0"/>
    </w:pPr>
    <w:rPr>
      <w:rFonts w:cs="Times New Roman"/>
      <w:b/>
      <w:bCs/>
      <w:smallCaps/>
    </w:rPr>
  </w:style>
  <w:style w:type="paragraph" w:styleId="Spistreci3">
    <w:name w:val="toc 3"/>
    <w:basedOn w:val="Normalny"/>
    <w:next w:val="Normalny"/>
    <w:autoRedefine/>
    <w:uiPriority w:val="39"/>
    <w:unhideWhenUsed/>
    <w:qFormat/>
    <w:rsid w:val="009D532F"/>
    <w:rPr>
      <w:rFonts w:cs="Times New Roman"/>
      <w:smallCaps/>
    </w:rPr>
  </w:style>
  <w:style w:type="paragraph" w:styleId="Legenda">
    <w:name w:val="caption"/>
    <w:basedOn w:val="Normalny"/>
    <w:next w:val="Normalny"/>
    <w:unhideWhenUsed/>
    <w:qFormat/>
    <w:rsid w:val="009D532F"/>
    <w:pPr>
      <w:spacing w:after="200" w:line="240" w:lineRule="auto"/>
    </w:pPr>
    <w:rPr>
      <w:rFonts w:cs="Times New Roman"/>
      <w:b/>
      <w:bCs/>
      <w:color w:val="4F81BD" w:themeColor="accent1"/>
      <w:sz w:val="18"/>
      <w:szCs w:val="18"/>
    </w:rPr>
  </w:style>
  <w:style w:type="paragraph" w:styleId="Tekstpodstawowy">
    <w:name w:val="Body Text"/>
    <w:basedOn w:val="Normalny"/>
    <w:link w:val="TekstpodstawowyZnak"/>
    <w:uiPriority w:val="99"/>
    <w:unhideWhenUsed/>
    <w:qFormat/>
    <w:rsid w:val="009D532F"/>
    <w:pPr>
      <w:spacing w:after="120"/>
    </w:pPr>
    <w:rPr>
      <w:szCs w:val="22"/>
    </w:rPr>
  </w:style>
  <w:style w:type="character" w:customStyle="1" w:styleId="TekstpodstawowyZnak">
    <w:name w:val="Tekst podstawowy Znak"/>
    <w:basedOn w:val="Domylnaczcionkaakapitu"/>
    <w:link w:val="Tekstpodstawowy"/>
    <w:uiPriority w:val="99"/>
    <w:rsid w:val="009D532F"/>
    <w:rPr>
      <w:rFonts w:ascii="Times New Roman" w:hAnsi="Times New Roman"/>
      <w:sz w:val="24"/>
      <w:lang w:val="en-US"/>
    </w:rPr>
  </w:style>
  <w:style w:type="character" w:styleId="Pogrubienie">
    <w:name w:val="Strong"/>
    <w:basedOn w:val="Domylnaczcionkaakapitu"/>
    <w:uiPriority w:val="22"/>
    <w:qFormat/>
    <w:rsid w:val="009D532F"/>
    <w:rPr>
      <w:b/>
      <w:bCs/>
    </w:rPr>
  </w:style>
  <w:style w:type="character" w:styleId="Uwydatnienie">
    <w:name w:val="Emphasis"/>
    <w:basedOn w:val="Domylnaczcionkaakapitu"/>
    <w:uiPriority w:val="20"/>
    <w:qFormat/>
    <w:rsid w:val="009D532F"/>
    <w:rPr>
      <w:i/>
      <w:iCs/>
    </w:rPr>
  </w:style>
  <w:style w:type="paragraph" w:styleId="Bezodstpw">
    <w:name w:val="No Spacing"/>
    <w:uiPriority w:val="1"/>
    <w:qFormat/>
    <w:rsid w:val="009D532F"/>
    <w:rPr>
      <w:lang w:val="en-US"/>
    </w:rPr>
  </w:style>
  <w:style w:type="paragraph" w:styleId="Akapitzlist">
    <w:name w:val="List Paragraph"/>
    <w:basedOn w:val="Normalny"/>
    <w:link w:val="AkapitzlistZnak"/>
    <w:uiPriority w:val="34"/>
    <w:qFormat/>
    <w:rsid w:val="009D532F"/>
    <w:pPr>
      <w:ind w:left="720"/>
      <w:contextualSpacing/>
    </w:pPr>
    <w:rPr>
      <w:rFonts w:cs="Times New Roman"/>
    </w:rPr>
  </w:style>
  <w:style w:type="character" w:customStyle="1" w:styleId="AkapitzlistZnak">
    <w:name w:val="Akapit z listą Znak"/>
    <w:basedOn w:val="Domylnaczcionkaakapitu"/>
    <w:link w:val="Akapitzlist"/>
    <w:uiPriority w:val="34"/>
    <w:rsid w:val="009D532F"/>
    <w:rPr>
      <w:rFonts w:ascii="Times New Roman" w:hAnsi="Times New Roman" w:cs="Times New Roman"/>
      <w:sz w:val="24"/>
      <w:szCs w:val="24"/>
      <w:lang w:val="en-US"/>
    </w:rPr>
  </w:style>
  <w:style w:type="paragraph" w:styleId="Cytat">
    <w:name w:val="Quote"/>
    <w:basedOn w:val="Normalny"/>
    <w:next w:val="Normalny"/>
    <w:link w:val="CytatZnak"/>
    <w:uiPriority w:val="29"/>
    <w:qFormat/>
    <w:rsid w:val="009D532F"/>
    <w:rPr>
      <w:i/>
      <w:iCs/>
      <w:color w:val="000000" w:themeColor="text1"/>
      <w:szCs w:val="22"/>
    </w:rPr>
  </w:style>
  <w:style w:type="character" w:customStyle="1" w:styleId="CytatZnak">
    <w:name w:val="Cytat Znak"/>
    <w:basedOn w:val="Domylnaczcionkaakapitu"/>
    <w:link w:val="Cytat"/>
    <w:uiPriority w:val="29"/>
    <w:rsid w:val="009D532F"/>
    <w:rPr>
      <w:rFonts w:ascii="Times New Roman" w:hAnsi="Times New Roman"/>
      <w:i/>
      <w:iCs/>
      <w:color w:val="000000" w:themeColor="text1"/>
      <w:sz w:val="24"/>
      <w:lang w:val="en-US"/>
    </w:rPr>
  </w:style>
  <w:style w:type="paragraph" w:styleId="Cytatintensywny">
    <w:name w:val="Intense Quote"/>
    <w:basedOn w:val="Normalny"/>
    <w:next w:val="Normalny"/>
    <w:link w:val="CytatintensywnyZnak"/>
    <w:uiPriority w:val="30"/>
    <w:qFormat/>
    <w:rsid w:val="009D532F"/>
    <w:pPr>
      <w:spacing w:after="240" w:line="240" w:lineRule="auto"/>
      <w:ind w:left="709" w:right="709" w:firstLine="0"/>
    </w:pPr>
    <w:rPr>
      <w:bCs/>
      <w:iCs/>
      <w:sz w:val="20"/>
      <w:szCs w:val="22"/>
    </w:rPr>
  </w:style>
  <w:style w:type="character" w:customStyle="1" w:styleId="CytatintensywnyZnak">
    <w:name w:val="Cytat intensywny Znak"/>
    <w:basedOn w:val="Domylnaczcionkaakapitu"/>
    <w:link w:val="Cytatintensywny"/>
    <w:uiPriority w:val="30"/>
    <w:rsid w:val="009D532F"/>
    <w:rPr>
      <w:rFonts w:ascii="Times New Roman" w:hAnsi="Times New Roman"/>
      <w:bCs/>
      <w:iCs/>
      <w:sz w:val="20"/>
      <w:lang w:val="en-US"/>
    </w:rPr>
  </w:style>
  <w:style w:type="paragraph" w:customStyle="1" w:styleId="335PLSBLiteraturserif">
    <w:name w:val="33.5_PL_SB_Literatur_serif"/>
    <w:basedOn w:val="Normalny"/>
    <w:qFormat/>
    <w:rsid w:val="009D532F"/>
    <w:pPr>
      <w:spacing w:line="300" w:lineRule="exact"/>
      <w:ind w:left="454" w:hanging="454"/>
    </w:pPr>
    <w:rPr>
      <w:rFonts w:eastAsia="Times New Roman" w:cs="Times New Roman"/>
      <w:szCs w:val="20"/>
      <w:lang w:val="de-DE" w:eastAsia="de-DE"/>
    </w:rPr>
  </w:style>
  <w:style w:type="paragraph" w:customStyle="1" w:styleId="listawypunktowana">
    <w:name w:val="lista wypunktowana"/>
    <w:basedOn w:val="Akapitzlist"/>
    <w:link w:val="listawypunktowanaZnak"/>
    <w:qFormat/>
    <w:rsid w:val="009D532F"/>
    <w:pPr>
      <w:numPr>
        <w:numId w:val="1"/>
      </w:numPr>
      <w:spacing w:before="120" w:after="120"/>
    </w:pPr>
    <w:rPr>
      <w:rFonts w:eastAsia="Times New Roman"/>
      <w:noProof/>
      <w:lang w:eastAsia="pl-PL"/>
    </w:rPr>
  </w:style>
  <w:style w:type="character" w:customStyle="1" w:styleId="listawypunktowanaZnak">
    <w:name w:val="lista wypunktowana Znak"/>
    <w:basedOn w:val="AkapitzlistZnak"/>
    <w:link w:val="listawypunktowana"/>
    <w:rsid w:val="009D532F"/>
    <w:rPr>
      <w:rFonts w:ascii="Times New Roman" w:eastAsia="Times New Roman" w:hAnsi="Times New Roman" w:cs="Times New Roman"/>
      <w:noProof/>
      <w:sz w:val="24"/>
      <w:szCs w:val="24"/>
      <w:lang w:val="en-US" w:eastAsia="pl-PL"/>
    </w:rPr>
  </w:style>
  <w:style w:type="paragraph" w:customStyle="1" w:styleId="numerowanie">
    <w:name w:val="numerowanie"/>
    <w:basedOn w:val="Normalny"/>
    <w:link w:val="numerowanieZnak"/>
    <w:qFormat/>
    <w:rsid w:val="009D532F"/>
    <w:pPr>
      <w:numPr>
        <w:numId w:val="2"/>
      </w:numPr>
      <w:autoSpaceDE w:val="0"/>
      <w:autoSpaceDN w:val="0"/>
      <w:adjustRightInd w:val="0"/>
      <w:spacing w:before="120" w:after="120" w:line="240" w:lineRule="auto"/>
    </w:pPr>
    <w:rPr>
      <w:rFonts w:cs="Times New Roman"/>
    </w:rPr>
  </w:style>
  <w:style w:type="character" w:customStyle="1" w:styleId="numerowanieZnak">
    <w:name w:val="numerowanie Znak"/>
    <w:basedOn w:val="Domylnaczcionkaakapitu"/>
    <w:link w:val="numerowanie"/>
    <w:rsid w:val="009D532F"/>
    <w:rPr>
      <w:rFonts w:ascii="Times New Roman" w:hAnsi="Times New Roman" w:cs="Times New Roman"/>
      <w:sz w:val="24"/>
      <w:szCs w:val="24"/>
      <w:lang w:val="en-US"/>
    </w:rPr>
  </w:style>
  <w:style w:type="paragraph" w:customStyle="1" w:styleId="TableParagraph">
    <w:name w:val="Table Paragraph"/>
    <w:basedOn w:val="Normalny"/>
    <w:uiPriority w:val="1"/>
    <w:qFormat/>
    <w:rsid w:val="009D532F"/>
    <w:pPr>
      <w:widowControl w:val="0"/>
      <w:spacing w:line="240" w:lineRule="auto"/>
      <w:ind w:firstLine="0"/>
      <w:jc w:val="left"/>
    </w:pPr>
    <w:rPr>
      <w:rFonts w:eastAsia="Times New Roman" w:cs="Times New Roman"/>
      <w:sz w:val="22"/>
    </w:rPr>
  </w:style>
  <w:style w:type="paragraph" w:customStyle="1" w:styleId="Styl1">
    <w:name w:val="Styl1"/>
    <w:link w:val="Styl1Znak"/>
    <w:qFormat/>
    <w:rsid w:val="009D532F"/>
    <w:pPr>
      <w:spacing w:line="360" w:lineRule="auto"/>
    </w:pPr>
    <w:rPr>
      <w:rFonts w:ascii="Times New Roman" w:eastAsia="Times New Roman" w:hAnsi="Times New Roman" w:cs="Times New Roman"/>
      <w:color w:val="000000"/>
      <w:sz w:val="24"/>
      <w:szCs w:val="24"/>
      <w:u w:color="000000"/>
      <w:bdr w:val="nil"/>
      <w:lang w:val="en-US" w:eastAsia="pl-PL"/>
    </w:rPr>
  </w:style>
  <w:style w:type="character" w:customStyle="1" w:styleId="Styl1Znak">
    <w:name w:val="Styl1 Znak"/>
    <w:basedOn w:val="Domylnaczcionkaakapitu"/>
    <w:link w:val="Styl1"/>
    <w:rsid w:val="009D532F"/>
    <w:rPr>
      <w:rFonts w:ascii="Times New Roman" w:eastAsia="Times New Roman" w:hAnsi="Times New Roman" w:cs="Times New Roman"/>
      <w:color w:val="000000"/>
      <w:sz w:val="24"/>
      <w:szCs w:val="24"/>
      <w:u w:color="000000"/>
      <w:bdr w:val="nil"/>
      <w:lang w:val="en-US" w:eastAsia="pl-PL"/>
    </w:rPr>
  </w:style>
  <w:style w:type="paragraph" w:styleId="Tekstprzypisudolnego">
    <w:name w:val="footnote text"/>
    <w:basedOn w:val="Normalny"/>
    <w:link w:val="TekstprzypisudolnegoZnak"/>
    <w:uiPriority w:val="99"/>
    <w:semiHidden/>
    <w:rsid w:val="009D4737"/>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line="240" w:lineRule="auto"/>
      <w:ind w:firstLine="0"/>
      <w:jc w:val="left"/>
    </w:pPr>
    <w:rPr>
      <w:rFonts w:eastAsia="Calibri" w:cs="Times New Roman"/>
      <w:sz w:val="20"/>
      <w:szCs w:val="20"/>
      <w:lang w:val="pl-PL" w:eastAsia="pl-PL"/>
    </w:rPr>
  </w:style>
  <w:style w:type="character" w:customStyle="1" w:styleId="TekstprzypisudolnegoZnak">
    <w:name w:val="Tekst przypisu dolnego Znak"/>
    <w:basedOn w:val="Domylnaczcionkaakapitu"/>
    <w:link w:val="Tekstprzypisudolnego"/>
    <w:uiPriority w:val="99"/>
    <w:semiHidden/>
    <w:rsid w:val="009D4737"/>
    <w:rPr>
      <w:rFonts w:ascii="Times New Roman" w:eastAsia="Calibri" w:hAnsi="Times New Roman" w:cs="Times New Roman"/>
      <w:sz w:val="20"/>
      <w:szCs w:val="20"/>
      <w:lang w:eastAsia="pl-PL"/>
    </w:rPr>
  </w:style>
  <w:style w:type="character" w:styleId="Odwoanieprzypisudolnego">
    <w:name w:val="footnote reference"/>
    <w:basedOn w:val="Domylnaczcionkaakapitu"/>
    <w:uiPriority w:val="99"/>
    <w:semiHidden/>
    <w:rsid w:val="009D4737"/>
    <w:rPr>
      <w:rFonts w:cs="Times New Roman"/>
      <w:vertAlign w:val="superscript"/>
    </w:rPr>
  </w:style>
  <w:style w:type="paragraph" w:styleId="NormalnyWeb">
    <w:name w:val="Normal (Web)"/>
    <w:basedOn w:val="Normalny"/>
    <w:uiPriority w:val="99"/>
    <w:semiHidden/>
    <w:unhideWhenUsed/>
    <w:rsid w:val="00C0427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00" w:beforeAutospacing="1" w:after="100" w:afterAutospacing="1" w:line="240" w:lineRule="auto"/>
      <w:ind w:firstLine="0"/>
      <w:jc w:val="left"/>
    </w:pPr>
    <w:rPr>
      <w:rFonts w:eastAsia="Times New Roman" w:cs="Times New Roman"/>
      <w:lang w:val="pl-PL" w:eastAsia="pl-PL"/>
    </w:rPr>
  </w:style>
  <w:style w:type="paragraph" w:customStyle="1" w:styleId="Default">
    <w:name w:val="Default"/>
    <w:rsid w:val="000F75DD"/>
    <w:pPr>
      <w:autoSpaceDE w:val="0"/>
      <w:autoSpaceDN w:val="0"/>
      <w:adjustRightInd w:val="0"/>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D577C9"/>
    <w:rPr>
      <w:color w:val="0000FF"/>
      <w:u w:val="single"/>
    </w:rPr>
  </w:style>
  <w:style w:type="character" w:customStyle="1" w:styleId="anchor-text">
    <w:name w:val="anchor-text"/>
    <w:basedOn w:val="Domylnaczcionkaakapitu"/>
    <w:rsid w:val="00D577C9"/>
  </w:style>
  <w:style w:type="character" w:customStyle="1" w:styleId="title-text">
    <w:name w:val="title-text"/>
    <w:basedOn w:val="Domylnaczcionkaakapitu"/>
    <w:rsid w:val="00D577C9"/>
  </w:style>
  <w:style w:type="character" w:customStyle="1" w:styleId="react-xocs-alternative-link">
    <w:name w:val="react-xocs-alternative-link"/>
    <w:basedOn w:val="Domylnaczcionkaakapitu"/>
    <w:rsid w:val="00D577C9"/>
  </w:style>
  <w:style w:type="character" w:customStyle="1" w:styleId="given-name">
    <w:name w:val="given-name"/>
    <w:basedOn w:val="Domylnaczcionkaakapitu"/>
    <w:rsid w:val="00D577C9"/>
  </w:style>
  <w:style w:type="character" w:customStyle="1" w:styleId="text">
    <w:name w:val="text"/>
    <w:basedOn w:val="Domylnaczcionkaakapitu"/>
    <w:rsid w:val="00D57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1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journal/language-scien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D5908C745D214B84B18646B9D25CEE" ma:contentTypeVersion="14" ma:contentTypeDescription="Utwórz nowy dokument." ma:contentTypeScope="" ma:versionID="6bd1e567a7b9afd563522f9647b5c255">
  <xsd:schema xmlns:xsd="http://www.w3.org/2001/XMLSchema" xmlns:xs="http://www.w3.org/2001/XMLSchema" xmlns:p="http://schemas.microsoft.com/office/2006/metadata/properties" xmlns:ns3="2a7d83a9-7373-4254-a7bd-115324cbae2b" xmlns:ns4="d898ee01-c79b-4b10-82e5-7183c76e8681" targetNamespace="http://schemas.microsoft.com/office/2006/metadata/properties" ma:root="true" ma:fieldsID="d90bbb55ca2ea72ecc3a1812eb02efcd" ns3:_="" ns4:_="">
    <xsd:import namespace="2a7d83a9-7373-4254-a7bd-115324cbae2b"/>
    <xsd:import namespace="d898ee01-c79b-4b10-82e5-7183c76e8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d83a9-7373-4254-a7bd-115324cbae2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8ee01-c79b-4b10-82e5-7183c76e8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898ee01-c79b-4b10-82e5-7183c76e86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D61A-0129-4887-8CD5-597F92E7C62F}">
  <ds:schemaRefs>
    <ds:schemaRef ds:uri="http://schemas.microsoft.com/sharepoint/v3/contenttype/forms"/>
  </ds:schemaRefs>
</ds:datastoreItem>
</file>

<file path=customXml/itemProps2.xml><?xml version="1.0" encoding="utf-8"?>
<ds:datastoreItem xmlns:ds="http://schemas.openxmlformats.org/officeDocument/2006/customXml" ds:itemID="{4D910161-CE63-49F2-8B03-6B2016CC6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d83a9-7373-4254-a7bd-115324cbae2b"/>
    <ds:schemaRef ds:uri="d898ee01-c79b-4b10-82e5-7183c76e8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CAA06-CE3E-48CF-A4CA-4511972394D4}">
  <ds:schemaRefs>
    <ds:schemaRef ds:uri="http://schemas.microsoft.com/office/2006/metadata/properties"/>
    <ds:schemaRef ds:uri="http://schemas.microsoft.com/office/infopath/2007/PartnerControls"/>
    <ds:schemaRef ds:uri="d898ee01-c79b-4b10-82e5-7183c76e8681"/>
  </ds:schemaRefs>
</ds:datastoreItem>
</file>

<file path=customXml/itemProps4.xml><?xml version="1.0" encoding="utf-8"?>
<ds:datastoreItem xmlns:ds="http://schemas.openxmlformats.org/officeDocument/2006/customXml" ds:itemID="{0CDCC69D-B769-4CFC-B954-73D4C5C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1723</Words>
  <Characters>10339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Mateusz Ławniczak</cp:lastModifiedBy>
  <cp:revision>2</cp:revision>
  <dcterms:created xsi:type="dcterms:W3CDTF">2023-09-27T06:49:00Z</dcterms:created>
  <dcterms:modified xsi:type="dcterms:W3CDTF">2023-09-27T06:49:00Z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0x010100E1D5908C745D214B84B18646B9D25CEE</vt:lpwstr>
  </property>
</Properties>
</file>